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888888"/>
          <w:sz w:val="18"/>
        </w:rPr>
        <w:t>🔒 CONFIDENCIAL — USO INTERNO SOC</w:t>
      </w:r>
    </w:p>
    <w:p>
      <w:pPr>
        <w:pStyle w:val="Title"/>
        <w:jc w:val="center"/>
      </w:pPr>
      <w:r>
        <w:t>REPORTE DE INCIDENTE DE SEGURIDAD</w:t>
      </w:r>
    </w:p>
    <w:p>
      <w:pPr>
        <w:jc w:val="center"/>
      </w:pPr>
      <w:r>
        <w:rPr>
          <w:color w:val="1E3A5F"/>
          <w:sz w:val="28"/>
        </w:rPr>
        <w:t>Reporte de Prueba - Cliente ACME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Fecha:</w:t>
            </w:r>
          </w:p>
        </w:tc>
        <w:tc>
          <w:tcPr>
            <w:tcW w:type="dxa" w:w="2196"/>
          </w:tcPr>
          <w:p>
            <w:r>
              <w:t>11/03/2026 16:04</w:t>
            </w:r>
          </w:p>
        </w:tc>
        <w:tc>
          <w:tcPr>
            <w:tcW w:type="dxa" w:w="2196"/>
          </w:tcPr>
          <w:p>
            <w:r>
              <w:rPr>
                <w:b/>
              </w:rPr>
              <w:t>Analista:</w:t>
            </w:r>
          </w:p>
        </w:tc>
        <w:tc>
          <w:tcPr>
            <w:tcW w:type="dxa" w:w="2196"/>
          </w:tcPr>
          <w:p>
            <w:r>
              <w:t>Ana García</w:t>
            </w:r>
          </w:p>
        </w:tc>
      </w:tr>
      <w:tr>
        <w:tc>
          <w:tcPr>
            <w:tcW w:type="dxa" w:w="2196"/>
          </w:tcPr>
          <w:p>
            <w:r>
              <w:rPr>
                <w:b/>
              </w:rPr>
              <w:t>Nivel de Riesgo:</w:t>
            </w:r>
          </w:p>
        </w:tc>
        <w:tc>
          <w:tcPr>
            <w:tcW w:type="dxa" w:w="2196"/>
          </w:tcPr>
          <w:p>
            <w:r>
              <w:t>CRITICAL</w:t>
            </w:r>
          </w:p>
        </w:tc>
        <w:tc>
          <w:tcPr>
            <w:tcW w:type="dxa" w:w="2196"/>
          </w:tcPr>
          <w:p>
            <w:r>
              <w:rPr>
                <w:b/>
              </w:rPr>
              <w:t>Score:</w:t>
            </w:r>
          </w:p>
        </w:tc>
        <w:tc>
          <w:tcPr>
            <w:tcW w:type="dxa" w:w="2196"/>
          </w:tcPr>
          <w:p>
            <w:r>
              <w:t>94/100</w:t>
            </w:r>
          </w:p>
        </w:tc>
      </w:tr>
    </w:tbl>
    <w:p>
      <w:r>
        <w:t>Cliente: ACME Corporation</w:t>
      </w:r>
    </w:p>
    <w:p/>
    <w:p>
      <w:pPr>
        <w:pStyle w:val="Heading1"/>
      </w:pPr>
      <w:r>
        <w:t>1. Resumen Ejecutivo</w:t>
      </w:r>
    </w:p>
    <w:p>
      <w:r>
        <w:t>Se analizaron 2 indicadores de compromiso (IOCs) utilizando múltiples fuentes de inteligencia de amenazas. El análisis reveló 1 IOC(s) maliciosos o de alto riesgo, 1 sospechosos, y 0 sin amenazas. El nivel de riesgo global es CRITICAL (Score: 94/100).</w:t>
      </w:r>
    </w:p>
    <w:p>
      <w:pPr>
        <w:pStyle w:val="Heading1"/>
      </w:pPr>
      <w:r>
        <w:t>2. Indicadores de Compromiso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r>
              <w:rPr>
                <w:b/>
              </w:rPr>
              <w:t>IOC</w:t>
            </w:r>
          </w:p>
        </w:tc>
        <w:tc>
          <w:tcPr>
            <w:tcW w:type="dxa" w:w="1757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757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1757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1757"/>
          </w:tcPr>
          <w:p>
            <w:r>
              <w:rPr>
                <w:b/>
              </w:rPr>
              <w:t>VT Detecciones</w:t>
            </w:r>
          </w:p>
        </w:tc>
      </w:tr>
      <w:tr>
        <w:tc>
          <w:tcPr>
            <w:tcW w:type="dxa" w:w="1757"/>
          </w:tcPr>
          <w:p>
            <w:r>
              <w:t>185.220.101.45</w:t>
            </w:r>
          </w:p>
        </w:tc>
        <w:tc>
          <w:tcPr>
            <w:tcW w:type="dxa" w:w="1757"/>
          </w:tcPr>
          <w:p>
            <w:r>
              <w:t>IP</w:t>
            </w:r>
          </w:p>
        </w:tc>
        <w:tc>
          <w:tcPr>
            <w:tcW w:type="dxa" w:w="1757"/>
          </w:tcPr>
          <w:p>
            <w:r>
              <w:t>MEDIUM</w:t>
            </w:r>
          </w:p>
        </w:tc>
        <w:tc>
          <w:tcPr>
            <w:tcW w:type="dxa" w:w="1757"/>
          </w:tcPr>
          <w:p>
            <w:r>
              <w:t>44/100</w:t>
            </w:r>
          </w:p>
        </w:tc>
        <w:tc>
          <w:tcPr>
            <w:tcW w:type="dxa" w:w="1757"/>
          </w:tcPr>
          <w:p>
            <w:r>
              <w:t>16/94</w:t>
            </w:r>
          </w:p>
        </w:tc>
      </w:tr>
      <w:tr>
        <w:tc>
          <w:tcPr>
            <w:tcW w:type="dxa" w:w="1757"/>
          </w:tcPr>
          <w:p>
            <w:r>
              <w:t>44d88612fea8a8f36de82e1278abb02f</w:t>
            </w:r>
          </w:p>
        </w:tc>
        <w:tc>
          <w:tcPr>
            <w:tcW w:type="dxa" w:w="1757"/>
          </w:tcPr>
          <w:p>
            <w:r>
              <w:t>HASH_MD5</w:t>
            </w:r>
          </w:p>
        </w:tc>
        <w:tc>
          <w:tcPr>
            <w:tcW w:type="dxa" w:w="1757"/>
          </w:tcPr>
          <w:p>
            <w:r>
              <w:t>CRITICAL</w:t>
            </w:r>
          </w:p>
        </w:tc>
        <w:tc>
          <w:tcPr>
            <w:tcW w:type="dxa" w:w="1757"/>
          </w:tcPr>
          <w:p>
            <w:r>
              <w:t>94/100</w:t>
            </w:r>
          </w:p>
        </w:tc>
        <w:tc>
          <w:tcPr>
            <w:tcW w:type="dxa" w:w="1757"/>
          </w:tcPr>
          <w:p>
            <w:r>
              <w:t>64/68</w:t>
            </w:r>
          </w:p>
        </w:tc>
      </w:tr>
    </w:tbl>
    <w:p/>
    <w:p>
      <w:pPr>
        <w:pStyle w:val="Heading1"/>
      </w:pPr>
      <w:r>
        <w:t>3. Descripción Técnica</w:t>
      </w:r>
    </w:p>
    <w:p>
      <w:pPr>
        <w:pStyle w:val="Heading2"/>
      </w:pPr>
      <w:r>
        <w:t>IOC #1: 185.220.101.45</w:t>
      </w:r>
    </w:p>
    <w:p>
      <w:r>
        <w:t>🟡 IOC sospechoso: 185.220.101.45 | VirusTotal: 16/94 motores detectaron amenaza | AbuseIPDB: Confianza de abuso 95% (105 reportes)</w:t>
      </w:r>
    </w:p>
    <w:p>
      <w:r>
        <w:t>VirusTotal: 16/94 motores detectaron amenaza. Reputación: -21.</w:t>
      </w:r>
    </w:p>
    <w:p>
      <w:r>
        <w:t>AbuseIPDB: Confianza de abuso 95%. Reportes: 105. País: DE.</w:t>
      </w:r>
    </w:p>
    <w:p>
      <w:pPr>
        <w:pStyle w:val="Heading2"/>
      </w:pPr>
      <w:r>
        <w:t>IOC #2: 44d88612fea8a8f36de82e1278abb02f</w:t>
      </w:r>
    </w:p>
    <w:p>
      <w:r>
        <w:t>⚠️ IOC de ALTO RIESGO: 44d88612fea8a8f36de82e1278abb02f | VirusTotal: 64/68 motores detectaron amenaza</w:t>
      </w:r>
    </w:p>
    <w:p>
      <w:r>
        <w:t>VirusTotal: 64/68 motores detectaron amenaza. Reputación: 3725.</w:t>
      </w:r>
    </w:p>
    <w:p>
      <w:pPr>
        <w:pStyle w:val="Heading1"/>
      </w:pPr>
      <w:r>
        <w:t>4. Evaluación de Riesgo</w:t>
      </w:r>
    </w:p>
    <w:p>
      <w:r>
        <w:t>El riesgo es CRÍTICO. Se requiere respuesta inmediata y contención urgente.</w:t>
      </w:r>
    </w:p>
    <w:p>
      <w:pPr>
        <w:pStyle w:val="Heading1"/>
      </w:pPr>
      <w:r>
        <w:t>5. Acciones Recomendadas</w:t>
      </w:r>
    </w:p>
    <w:p>
      <w:pPr>
        <w:pStyle w:val="ListBullet"/>
      </w:pPr>
      <w:r>
        <w:t>INMEDIATO: Aislar los sistemas afectados</w:t>
      </w:r>
    </w:p>
    <w:p>
      <w:pPr>
        <w:pStyle w:val="ListBullet"/>
      </w:pPr>
      <w:r>
        <w:t>INMEDIATO: Bloquear IOCs en todos los controles de seguridad</w:t>
      </w:r>
    </w:p>
    <w:p>
      <w:pPr>
        <w:pStyle w:val="ListBullet"/>
      </w:pPr>
      <w:r>
        <w:t>Iniciar proceso formal de respuesta a incidentes</w:t>
      </w:r>
    </w:p>
    <w:p>
      <w:pPr>
        <w:pStyle w:val="ListBullet"/>
      </w:pPr>
      <w:r>
        <w:t>Preservar evidencia forense</w:t>
      </w:r>
    </w:p>
    <w:p>
      <w:pPr>
        <w:pStyle w:val="ListBullet"/>
      </w:pPr>
      <w:r>
        <w:t>Notificar a dirección y equipos legales</w:t>
      </w:r>
    </w:p>
    <w:p>
      <w:pPr>
        <w:pStyle w:val="Heading1"/>
      </w:pPr>
      <w:r>
        <w:t>6. Notas del Analista</w:t>
      </w:r>
    </w:p>
    <w:p>
      <w:r>
        <w:t>Análisis post-incidente para cliente ACME Corp.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