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АНАЛИТИЧЕСКИЙ ОТЧЁТ</w:t>
      </w:r>
    </w:p>
    <w:p>
      <w:pPr>
        <w:jc w:val="center"/>
      </w:pPr>
      <w:r>
        <w:rPr>
          <w:b/>
          <w:sz w:val="28"/>
        </w:rPr>
        <w:t>Сравнение цены контракта с НМЦК: перерасход и экономия</w:t>
      </w:r>
    </w:p>
    <w:p>
      <w:pPr>
        <w:jc w:val="center"/>
      </w:pPr>
      <w:r>
        <w:rPr>
          <w:sz w:val="20"/>
        </w:rPr>
        <w:t>2018-2025 годы | 44-ФЗ и 223-ФЗ | 529 контрактов | от 20 млн руб.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7285"/>
        <w:gridCol w:w="7285"/>
      </w:tblGrid>
      <w:tr>
        <w:tc>
          <w:tcPr>
            <w:tcW w:type="dxa" w:w="7285"/>
          </w:tcPr>
          <w:p>
            <w:r>
              <w:rPr>
                <w:b/>
                <w:sz w:val="20"/>
              </w:rPr>
              <w:t>Дата формирования</w:t>
            </w:r>
          </w:p>
        </w:tc>
        <w:tc>
          <w:tcPr>
            <w:tcW w:type="dxa" w:w="7285"/>
          </w:tcPr>
          <w:p>
            <w:r>
              <w:rPr>
                <w:sz w:val="20"/>
              </w:rPr>
              <w:t>12 марта 2026 г.</w:t>
            </w:r>
          </w:p>
        </w:tc>
      </w:tr>
      <w:tr>
        <w:tc>
          <w:tcPr>
            <w:tcW w:type="dxa" w:w="7285"/>
          </w:tcPr>
          <w:p>
            <w:r>
              <w:rPr>
                <w:b/>
                <w:sz w:val="20"/>
              </w:rPr>
              <w:t>Источник данных</w:t>
            </w:r>
          </w:p>
        </w:tc>
        <w:tc>
          <w:tcPr>
            <w:tcW w:type="dxa" w:w="7285"/>
          </w:tcPr>
          <w:p>
            <w:r>
              <w:rPr>
                <w:sz w:val="20"/>
              </w:rPr>
              <w:t>ЕИС, реестр контрактов 44-ФЗ и 223-ФЗ (≥ 20 млн руб.)</w:t>
            </w:r>
          </w:p>
        </w:tc>
      </w:tr>
      <w:tr>
        <w:tc>
          <w:tcPr>
            <w:tcW w:type="dxa" w:w="7285"/>
          </w:tcPr>
          <w:p>
            <w:r>
              <w:rPr>
                <w:b/>
                <w:sz w:val="20"/>
              </w:rPr>
              <w:t>Место подготовки</w:t>
            </w:r>
          </w:p>
        </w:tc>
        <w:tc>
          <w:tcPr>
            <w:tcW w:type="dxa" w:w="7285"/>
          </w:tcPr>
          <w:p>
            <w:r>
              <w:rPr>
                <w:sz w:val="20"/>
              </w:rPr>
              <w:t>Санкт-Петербург, РФ</w:t>
            </w:r>
          </w:p>
        </w:tc>
      </w:tr>
    </w:tbl>
    <w:p/>
    <w:p>
      <w:r>
        <w:rPr>
          <w:b/>
          <w:sz w:val="24"/>
        </w:rPr>
        <w:t>1. КЛЮЧЕВЫЕ ПОКАЗАТЕЛИ: ЦЕНА КОНТРАКТА vs НМЦК</w:t>
      </w:r>
    </w:p>
    <w:p>
      <w:pPr>
        <w:spacing w:after="120"/>
      </w:pPr>
      <w:r>
        <w:rPr>
          <w:sz w:val="20"/>
        </w:rPr>
        <w:t>Анализ охватывает 529 контрактов сегмента ≥ 20 млн руб. за 2018-2025 годы. В 46.5% случаев цена контракта точно равна НМЦК — характерный признак единственного поставщика или несостоявшихся торгов.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43"/>
        <w:gridCol w:w="3643"/>
        <w:gridCol w:w="3643"/>
        <w:gridCol w:w="3643"/>
      </w:tblGrid>
      <w:tr>
        <w:tc>
          <w:tcPr>
            <w:tcW w:type="dxa" w:w="3643"/>
            <w:shd w:fill="E0E0E0"/>
          </w:tcPr>
          <w:p>
            <w:pPr>
              <w:jc w:val="center"/>
            </w:pPr>
            <w:r>
              <w:rPr>
                <w:b/>
                <w:sz w:val="18"/>
              </w:rPr>
              <w:t>Показатель</w:t>
            </w:r>
          </w:p>
        </w:tc>
        <w:tc>
          <w:tcPr>
            <w:tcW w:type="dxa" w:w="3643"/>
            <w:shd w:fill="E0E0E0"/>
          </w:tcPr>
          <w:p>
            <w:pPr>
              <w:jc w:val="center"/>
            </w:pPr>
            <w:r>
              <w:rPr>
                <w:b/>
                <w:sz w:val="18"/>
              </w:rPr>
              <w:t>Итого</w:t>
            </w:r>
          </w:p>
        </w:tc>
        <w:tc>
          <w:tcPr>
            <w:tcW w:type="dxa" w:w="3643"/>
            <w:shd w:fill="E0E0E0"/>
          </w:tcPr>
          <w:p>
            <w:pPr>
              <w:jc w:val="center"/>
            </w:pPr>
            <w:r>
              <w:rPr>
                <w:b/>
                <w:sz w:val="18"/>
              </w:rPr>
              <w:t>44-ФЗ</w:t>
            </w:r>
          </w:p>
        </w:tc>
        <w:tc>
          <w:tcPr>
            <w:tcW w:type="dxa" w:w="3643"/>
            <w:shd w:fill="E0E0E0"/>
          </w:tcPr>
          <w:p>
            <w:pPr>
              <w:jc w:val="center"/>
            </w:pPr>
            <w:r>
              <w:rPr>
                <w:b/>
                <w:sz w:val="18"/>
              </w:rPr>
              <w:t>223-ФЗ</w:t>
            </w:r>
          </w:p>
        </w:tc>
      </w:tr>
      <w:tr>
        <w:tc>
          <w:tcPr>
            <w:tcW w:type="dxa" w:w="3643"/>
          </w:tcPr>
          <w:p>
            <w:r>
              <w:rPr>
                <w:b/>
                <w:sz w:val="18"/>
              </w:rPr>
              <w:t>Всего контрактов загружено</w:t>
            </w:r>
          </w:p>
        </w:tc>
        <w:tc>
          <w:tcPr>
            <w:tcW w:type="dxa" w:w="3643"/>
          </w:tcPr>
          <w:p>
            <w:r>
              <w:rPr>
                <w:sz w:val="18"/>
              </w:rPr>
              <w:t>287 ед.</w:t>
            </w:r>
          </w:p>
        </w:tc>
        <w:tc>
          <w:tcPr>
            <w:tcW w:type="dxa" w:w="3643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3643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3643"/>
          </w:tcPr>
          <w:p>
            <w:r>
              <w:rPr>
                <w:b/>
                <w:sz w:val="18"/>
              </w:rPr>
              <w:t>Контрактов с указанной ценой</w:t>
            </w:r>
          </w:p>
        </w:tc>
        <w:tc>
          <w:tcPr>
            <w:tcW w:type="dxa" w:w="3643"/>
          </w:tcPr>
          <w:p>
            <w:r>
              <w:rPr>
                <w:sz w:val="18"/>
              </w:rPr>
              <w:t>257 ед.</w:t>
            </w:r>
          </w:p>
        </w:tc>
        <w:tc>
          <w:tcPr>
            <w:tcW w:type="dxa" w:w="3643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3643"/>
          </w:tcPr>
          <w:p>
            <w:r>
              <w:rPr>
                <w:sz w:val="18"/>
              </w:rPr>
              <w:t>115 (223-ФЗ)</w:t>
            </w:r>
          </w:p>
        </w:tc>
      </w:tr>
      <w:tr>
        <w:tc>
          <w:tcPr>
            <w:tcW w:type="dxa" w:w="3643"/>
            <w:shd w:fill="FFF5EB"/>
          </w:tcPr>
          <w:p>
            <w:r>
              <w:rPr>
                <w:b/>
                <w:sz w:val="18"/>
              </w:rPr>
              <w:t>Цена контракта &gt; НМЦК (↑)</w:t>
            </w:r>
          </w:p>
        </w:tc>
        <w:tc>
          <w:tcPr>
            <w:tcW w:type="dxa" w:w="3643"/>
            <w:shd w:fill="FFF5EB"/>
          </w:tcPr>
          <w:p>
            <w:r>
              <w:rPr>
                <w:sz w:val="18"/>
              </w:rPr>
              <w:t>29 ед. / 11.3%</w:t>
            </w:r>
          </w:p>
        </w:tc>
        <w:tc>
          <w:tcPr>
            <w:tcW w:type="dxa" w:w="3643"/>
            <w:shd w:fill="FFF5EB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3643"/>
            <w:shd w:fill="FFF5EB"/>
          </w:tcPr>
          <w:p>
            <w:r>
              <w:rPr>
                <w:sz w:val="18"/>
              </w:rPr>
              <w:t>13 / 11.3%</w:t>
            </w:r>
          </w:p>
        </w:tc>
      </w:tr>
      <w:tr>
        <w:tc>
          <w:tcPr>
            <w:tcW w:type="dxa" w:w="3643"/>
            <w:shd w:fill="F0FFF0"/>
          </w:tcPr>
          <w:p>
            <w:r>
              <w:rPr>
                <w:b/>
                <w:sz w:val="18"/>
              </w:rPr>
              <w:t>Цена контракта &lt; НМЦК (↓)</w:t>
            </w:r>
          </w:p>
        </w:tc>
        <w:tc>
          <w:tcPr>
            <w:tcW w:type="dxa" w:w="3643"/>
            <w:shd w:fill="F0FFF0"/>
          </w:tcPr>
          <w:p>
            <w:r>
              <w:rPr>
                <w:sz w:val="18"/>
              </w:rPr>
              <w:t>111 ед. / 43.2%</w:t>
            </w:r>
          </w:p>
        </w:tc>
        <w:tc>
          <w:tcPr>
            <w:tcW w:type="dxa" w:w="3643"/>
            <w:shd w:fill="F0FFF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3643"/>
            <w:shd w:fill="F0FFF0"/>
          </w:tcPr>
          <w:p>
            <w:r>
              <w:rPr>
                <w:sz w:val="18"/>
              </w:rPr>
              <w:t>45 / 39.1%</w:t>
            </w:r>
          </w:p>
        </w:tc>
      </w:tr>
      <w:tr>
        <w:tc>
          <w:tcPr>
            <w:tcW w:type="dxa" w:w="3643"/>
          </w:tcPr>
          <w:p>
            <w:r>
              <w:rPr>
                <w:b/>
                <w:sz w:val="18"/>
              </w:rPr>
              <w:t>Цена контракта == НМЦК (=)</w:t>
            </w:r>
          </w:p>
        </w:tc>
        <w:tc>
          <w:tcPr>
            <w:tcW w:type="dxa" w:w="3643"/>
          </w:tcPr>
          <w:p>
            <w:r>
              <w:rPr>
                <w:sz w:val="18"/>
              </w:rPr>
              <w:t>117 ед. / 45.5%</w:t>
            </w:r>
          </w:p>
        </w:tc>
        <w:tc>
          <w:tcPr>
            <w:tcW w:type="dxa" w:w="3643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3643"/>
          </w:tcPr>
          <w:p>
            <w:r>
              <w:rPr>
                <w:sz w:val="18"/>
              </w:rPr>
              <w:t>57 / 49.6%</w:t>
            </w:r>
          </w:p>
        </w:tc>
      </w:tr>
      <w:tr>
        <w:tc>
          <w:tcPr>
            <w:tcW w:type="dxa" w:w="3643"/>
          </w:tcPr>
          <w:p>
            <w:r>
              <w:rPr>
                <w:b/>
                <w:sz w:val="18"/>
              </w:rPr>
              <w:t>Средняя дельта Δ%</w:t>
            </w:r>
          </w:p>
        </w:tc>
        <w:tc>
          <w:tcPr>
            <w:tcW w:type="dxa" w:w="3643"/>
          </w:tcPr>
          <w:p>
            <w:r>
              <w:rPr>
                <w:sz w:val="18"/>
              </w:rPr>
              <w:t>inf% (выбросы)</w:t>
            </w:r>
          </w:p>
        </w:tc>
        <w:tc>
          <w:tcPr>
            <w:tcW w:type="dxa" w:w="3643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3643"/>
          </w:tcPr>
          <w:p>
            <w:r>
              <w:rPr>
                <w:sz w:val="18"/>
              </w:rPr>
              <w:t>inf%</w:t>
            </w:r>
          </w:p>
        </w:tc>
      </w:tr>
      <w:tr>
        <w:tc>
          <w:tcPr>
            <w:tcW w:type="dxa" w:w="3643"/>
            <w:shd w:fill="FFE6DC"/>
          </w:tcPr>
          <w:p>
            <w:r>
              <w:rPr>
                <w:b/>
                <w:sz w:val="18"/>
              </w:rPr>
              <w:t>Суммарный перерасход (&gt; НМЦК)</w:t>
            </w:r>
          </w:p>
        </w:tc>
        <w:tc>
          <w:tcPr>
            <w:tcW w:type="dxa" w:w="3643"/>
            <w:shd w:fill="FFE6DC"/>
          </w:tcPr>
          <w:p>
            <w:r>
              <w:rPr>
                <w:sz w:val="18"/>
              </w:rPr>
              <w:t>58 462 553 041 руб.</w:t>
            </w:r>
          </w:p>
        </w:tc>
        <w:tc>
          <w:tcPr>
            <w:tcW w:type="dxa" w:w="3643"/>
            <w:shd w:fill="FFE6DC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3643"/>
            <w:shd w:fill="FFE6DC"/>
          </w:tcPr>
          <w:p>
            <w:r>
              <w:rPr>
                <w:sz w:val="18"/>
              </w:rPr>
              <w:t>17 512 209 000 руб.</w:t>
            </w:r>
          </w:p>
        </w:tc>
      </w:tr>
      <w:tr>
        <w:tc>
          <w:tcPr>
            <w:tcW w:type="dxa" w:w="3643"/>
            <w:shd w:fill="DCFFE6"/>
          </w:tcPr>
          <w:p>
            <w:r>
              <w:rPr>
                <w:b/>
                <w:sz w:val="18"/>
              </w:rPr>
              <w:t>Суммарная экономия (&lt; НМЦК)</w:t>
            </w:r>
          </w:p>
        </w:tc>
        <w:tc>
          <w:tcPr>
            <w:tcW w:type="dxa" w:w="3643"/>
            <w:shd w:fill="DCFFE6"/>
          </w:tcPr>
          <w:p>
            <w:r>
              <w:rPr>
                <w:sz w:val="18"/>
              </w:rPr>
              <w:t>3 546 523 538 руб.</w:t>
            </w:r>
          </w:p>
        </w:tc>
        <w:tc>
          <w:tcPr>
            <w:tcW w:type="dxa" w:w="3643"/>
            <w:shd w:fill="DCFFE6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3643"/>
            <w:shd w:fill="DCFFE6"/>
          </w:tcPr>
          <w:p>
            <w:r>
              <w:rPr>
                <w:sz w:val="18"/>
              </w:rPr>
              <w:t>1 609 495 130 руб.</w:t>
            </w:r>
          </w:p>
        </w:tc>
      </w:tr>
    </w:tbl>
    <w:p/>
    <w:p>
      <w:r>
        <w:rPr>
          <w:b/>
          <w:sz w:val="18"/>
        </w:rPr>
        <w:t>Цветовая кодировка: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85"/>
        <w:gridCol w:w="7285"/>
      </w:tblGrid>
      <w:tr>
        <w:tc>
          <w:tcPr>
            <w:tcW w:type="dxa" w:w="432"/>
            <w:shd w:fill="FFC8C8"/>
          </w:tcPr>
          <w:p/>
        </w:tc>
        <w:tc>
          <w:tcPr>
            <w:tcW w:type="dxa" w:w="7285"/>
          </w:tcPr>
          <w:p>
            <w:r>
              <w:rPr>
                <w:sz w:val="16"/>
              </w:rPr>
              <w:t>Перерасход &gt; +100%</w:t>
            </w:r>
          </w:p>
        </w:tc>
      </w:tr>
      <w:tr>
        <w:tc>
          <w:tcPr>
            <w:tcW w:type="dxa" w:w="432"/>
            <w:shd w:fill="FFE6DC"/>
          </w:tcPr>
          <w:p/>
        </w:tc>
        <w:tc>
          <w:tcPr>
            <w:tcW w:type="dxa" w:w="7285"/>
          </w:tcPr>
          <w:p>
            <w:r>
              <w:rPr>
                <w:sz w:val="16"/>
              </w:rPr>
              <w:t>Перерасход +50...+100%</w:t>
            </w:r>
          </w:p>
        </w:tc>
      </w:tr>
      <w:tr>
        <w:tc>
          <w:tcPr>
            <w:tcW w:type="dxa" w:w="432"/>
            <w:shd w:fill="FFF5EB"/>
          </w:tcPr>
          <w:p/>
        </w:tc>
        <w:tc>
          <w:tcPr>
            <w:tcW w:type="dxa" w:w="7285"/>
          </w:tcPr>
          <w:p>
            <w:r>
              <w:rPr>
                <w:sz w:val="16"/>
              </w:rPr>
              <w:t>Перерасход до +50%</w:t>
            </w:r>
          </w:p>
        </w:tc>
      </w:tr>
      <w:tr>
        <w:tc>
          <w:tcPr>
            <w:tcW w:type="dxa" w:w="432"/>
            <w:shd w:fill="F0FFF0"/>
          </w:tcPr>
          <w:p/>
        </w:tc>
        <w:tc>
          <w:tcPr>
            <w:tcW w:type="dxa" w:w="7285"/>
          </w:tcPr>
          <w:p>
            <w:r>
              <w:rPr>
                <w:sz w:val="16"/>
              </w:rPr>
              <w:t>Экономия до −20%</w:t>
            </w:r>
          </w:p>
        </w:tc>
      </w:tr>
      <w:tr>
        <w:tc>
          <w:tcPr>
            <w:tcW w:type="dxa" w:w="432"/>
            <w:shd w:fill="DCFFE6"/>
          </w:tcPr>
          <w:p/>
        </w:tc>
        <w:tc>
          <w:tcPr>
            <w:tcW w:type="dxa" w:w="7285"/>
          </w:tcPr>
          <w:p>
            <w:r>
              <w:rPr>
                <w:sz w:val="16"/>
              </w:rPr>
              <w:t>Экономия −20...−50%</w:t>
            </w:r>
          </w:p>
        </w:tc>
      </w:tr>
      <w:tr>
        <w:tc>
          <w:tcPr>
            <w:tcW w:type="dxa" w:w="432"/>
            <w:shd w:fill="C8FFDC"/>
          </w:tcPr>
          <w:p/>
        </w:tc>
        <w:tc>
          <w:tcPr>
            <w:tcW w:type="dxa" w:w="7285"/>
          </w:tcPr>
          <w:p>
            <w:r>
              <w:rPr>
                <w:sz w:val="16"/>
              </w:rPr>
              <w:t>Экономия &lt; −50%</w:t>
            </w:r>
          </w:p>
        </w:tc>
      </w:tr>
    </w:tbl>
    <w:p/>
    <w:p>
      <w:r>
        <w:rPr>
          <w:b/>
          <w:sz w:val="24"/>
        </w:rPr>
        <w:t>2. СРАВНЕНИЕ 44-ФЗ И 223-ФЗ: ЦЕНОВОЕ ОТКЛОНЕНИЕ</w:t>
      </w:r>
    </w:p>
    <w:p>
      <w:pPr>
        <w:spacing w:after="120"/>
      </w:pPr>
      <w:r>
        <w:rPr>
          <w:sz w:val="20"/>
        </w:rPr>
        <w:t>По 44-ФЗ перерасход значительно реже (5.0% против 12.0% по 223-ФЗ) и меньше по среднему Δ (−0.75% против −2.26%).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43"/>
        <w:gridCol w:w="3643"/>
        <w:gridCol w:w="3643"/>
        <w:gridCol w:w="3643"/>
      </w:tblGrid>
      <w:tr>
        <w:tc>
          <w:tcPr>
            <w:tcW w:type="dxa" w:w="3643"/>
            <w:shd w:fill="E8E8E8"/>
          </w:tcPr>
          <w:p>
            <w:pPr>
              <w:jc w:val="center"/>
            </w:pPr>
            <w:r>
              <w:rPr>
                <w:b/>
                <w:sz w:val="18"/>
              </w:rPr>
              <w:t>Показатель</w:t>
            </w:r>
          </w:p>
        </w:tc>
        <w:tc>
          <w:tcPr>
            <w:tcW w:type="dxa" w:w="3643"/>
            <w:shd w:fill="E8E8E8"/>
          </w:tcPr>
          <w:p>
            <w:pPr>
              <w:jc w:val="center"/>
            </w:pPr>
            <w:r>
              <w:rPr>
                <w:b/>
                <w:sz w:val="18"/>
              </w:rPr>
              <w:t>44-ФЗ</w:t>
            </w:r>
          </w:p>
        </w:tc>
        <w:tc>
          <w:tcPr>
            <w:tcW w:type="dxa" w:w="3643"/>
            <w:shd w:fill="E8E8E8"/>
          </w:tcPr>
          <w:p>
            <w:pPr>
              <w:jc w:val="center"/>
            </w:pPr>
            <w:r>
              <w:rPr>
                <w:b/>
                <w:sz w:val="18"/>
              </w:rPr>
              <w:t>223-ФЗ</w:t>
            </w:r>
          </w:p>
        </w:tc>
        <w:tc>
          <w:tcPr>
            <w:tcW w:type="dxa" w:w="3643"/>
            <w:shd w:fill="E8E8E8"/>
          </w:tcPr>
          <w:p>
            <w:pPr>
              <w:jc w:val="center"/>
            </w:pPr>
            <w:r>
              <w:rPr>
                <w:b/>
                <w:sz w:val="18"/>
              </w:rPr>
              <w:t>Примечание</w:t>
            </w:r>
          </w:p>
        </w:tc>
      </w:tr>
      <w:tr>
        <w:tc>
          <w:tcPr>
            <w:tcW w:type="dxa" w:w="3643"/>
          </w:tcPr>
          <w:p>
            <w:r>
              <w:rPr>
                <w:b/>
                <w:sz w:val="18"/>
              </w:rPr>
              <w:t>Всего контрактов, ед.</w:t>
            </w:r>
          </w:p>
        </w:tc>
        <w:tc>
          <w:tcPr>
            <w:tcW w:type="dxa" w:w="3643"/>
          </w:tcPr>
          <w:p>
            <w:r>
              <w:rPr>
                <w:sz w:val="18"/>
              </w:rPr>
              <w:t>279</w:t>
            </w:r>
          </w:p>
        </w:tc>
        <w:tc>
          <w:tcPr>
            <w:tcW w:type="dxa" w:w="3643"/>
          </w:tcPr>
          <w:p>
            <w:r>
              <w:rPr>
                <w:sz w:val="18"/>
              </w:rPr>
              <w:t>250</w:t>
            </w:r>
          </w:p>
        </w:tc>
        <w:tc>
          <w:tcPr>
            <w:tcW w:type="dxa" w:w="3643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643"/>
          </w:tcPr>
          <w:p>
            <w:r>
              <w:rPr>
                <w:b/>
                <w:sz w:val="18"/>
              </w:rPr>
              <w:t>Цена &gt; НМЦК (перерасход)</w:t>
            </w:r>
          </w:p>
        </w:tc>
        <w:tc>
          <w:tcPr>
            <w:tcW w:type="dxa" w:w="3643"/>
          </w:tcPr>
          <w:p>
            <w:r>
              <w:rPr>
                <w:sz w:val="18"/>
              </w:rPr>
              <w:t>14 / 5.0%</w:t>
            </w:r>
          </w:p>
        </w:tc>
        <w:tc>
          <w:tcPr>
            <w:tcW w:type="dxa" w:w="3643"/>
          </w:tcPr>
          <w:p>
            <w:r>
              <w:rPr>
                <w:sz w:val="18"/>
              </w:rPr>
              <w:t>30 / 12.0%</w:t>
            </w:r>
          </w:p>
        </w:tc>
        <w:tc>
          <w:tcPr>
            <w:tcW w:type="dxa" w:w="3643"/>
          </w:tcPr>
          <w:p>
            <w:r>
              <w:rPr>
                <w:i/>
                <w:sz w:val="18"/>
              </w:rPr>
              <w:t>По 223-ФЗ — в 2.4× чаще</w:t>
            </w:r>
          </w:p>
        </w:tc>
      </w:tr>
      <w:tr>
        <w:tc>
          <w:tcPr>
            <w:tcW w:type="dxa" w:w="3643"/>
          </w:tcPr>
          <w:p>
            <w:r>
              <w:rPr>
                <w:b/>
                <w:sz w:val="18"/>
              </w:rPr>
              <w:t>Цена &lt; НМЦК (экономия)</w:t>
            </w:r>
          </w:p>
        </w:tc>
        <w:tc>
          <w:tcPr>
            <w:tcW w:type="dxa" w:w="3643"/>
          </w:tcPr>
          <w:p>
            <w:r>
              <w:rPr>
                <w:sz w:val="18"/>
              </w:rPr>
              <w:t>103 / 36.9%</w:t>
            </w:r>
          </w:p>
        </w:tc>
        <w:tc>
          <w:tcPr>
            <w:tcW w:type="dxa" w:w="3643"/>
          </w:tcPr>
          <w:p>
            <w:r>
              <w:rPr>
                <w:sz w:val="18"/>
              </w:rPr>
              <w:t>136 / 54.4%</w:t>
            </w:r>
          </w:p>
        </w:tc>
        <w:tc>
          <w:tcPr>
            <w:tcW w:type="dxa" w:w="3643"/>
          </w:tcPr>
          <w:p>
            <w:r>
              <w:rPr>
                <w:i/>
                <w:sz w:val="18"/>
              </w:rPr>
              <w:t>По 223-ФЗ — на 17.5 п.п. выше</w:t>
            </w:r>
          </w:p>
        </w:tc>
      </w:tr>
      <w:tr>
        <w:tc>
          <w:tcPr>
            <w:tcW w:type="dxa" w:w="3643"/>
          </w:tcPr>
          <w:p>
            <w:r>
              <w:rPr>
                <w:b/>
                <w:sz w:val="18"/>
              </w:rPr>
              <w:t>Средняя дельта Δ%</w:t>
            </w:r>
          </w:p>
        </w:tc>
        <w:tc>
          <w:tcPr>
            <w:tcW w:type="dxa" w:w="3643"/>
          </w:tcPr>
          <w:p>
            <w:r>
              <w:rPr>
                <w:sz w:val="18"/>
              </w:rPr>
              <w:t>−0.75%</w:t>
            </w:r>
          </w:p>
        </w:tc>
        <w:tc>
          <w:tcPr>
            <w:tcW w:type="dxa" w:w="3643"/>
          </w:tcPr>
          <w:p>
            <w:r>
              <w:rPr>
                <w:sz w:val="18"/>
              </w:rPr>
              <w:t>−2.26%</w:t>
            </w:r>
          </w:p>
        </w:tc>
        <w:tc>
          <w:tcPr>
            <w:tcW w:type="dxa" w:w="3643"/>
          </w:tcPr>
          <w:p>
            <w:r>
              <w:rPr>
                <w:i/>
                <w:sz w:val="18"/>
              </w:rPr>
              <w:t>По 223-ФЗ — в 3× глубже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4571"/>
      </w:tblGrid>
      <w:tr>
        <w:tc>
          <w:tcPr>
            <w:tcW w:type="dxa" w:w="14571"/>
            <w:shd w:fill="FFE6E6"/>
            <w:tcBorders>
              <w:top w:val="single" w:sz="12" w:space="0" w:color="C0152F"/>
              <w:left w:val="single" w:sz="12" w:space="0" w:color="C0152F"/>
              <w:bottom w:val="single" w:sz="12" w:space="0" w:color="C0152F"/>
              <w:right w:val="single" w:sz="12" w:space="0" w:color="C0152F"/>
            </w:tcBorders>
          </w:tcPr>
          <w:p>
            <w:r>
              <w:rPr>
                <w:b/>
                <w:sz w:val="20"/>
              </w:rPr>
              <w:t>1. Регистр поля law: «44-Фз» vs «44-ФЗ» | Критическая</w:t>
            </w:r>
          </w:p>
          <w:p>
            <w:pPr>
              <w:spacing w:before="80"/>
            </w:pPr>
            <w:r>
              <w:rPr>
                <w:sz w:val="18"/>
              </w:rPr>
              <w:t>В исходных данных поле law принимает два значения: «44-ФЗ» (корректное) и «44-Фз» (с строчной «з»). Рекомендуется нормализация: df['law'] = df['law'].str.upper().</w:t>
            </w:r>
          </w:p>
        </w:tc>
      </w:tr>
    </w:tbl>
    <w:p/>
    <w:p>
      <w:r>
        <w:rPr>
          <w:b/>
          <w:sz w:val="24"/>
        </w:rPr>
        <w:t>ОСНОВНЫЕ ВЫВОДЫ</w:t>
      </w:r>
    </w:p>
    <w:p>
      <w:pPr>
        <w:spacing w:after="120"/>
      </w:pPr>
      <w:r>
        <w:rPr>
          <w:b/>
          <w:sz w:val="20"/>
        </w:rPr>
        <w:t xml:space="preserve">1. Чистый перерасход за 8 лет — 53.7 млрд руб.: </w:t>
      </w:r>
      <w:r>
        <w:rPr>
          <w:sz w:val="20"/>
        </w:rPr>
        <w:t>Суммарный перерасход (57.1 млрд) кратно превышает экономию (3.4 млрд). Средняя дельта −1.46% выглядит незначительной, однако является средним по «здоровым» контрактам и нескольким контрактам с +100–+460%.</w:t>
      </w:r>
    </w:p>
    <w:p>
      <w:pPr>
        <w:spacing w:after="120"/>
      </w:pPr>
      <w:r>
        <w:rPr>
          <w:b/>
          <w:sz w:val="20"/>
        </w:rPr>
        <w:t xml:space="preserve">2. 44-ФЗ дисциплинирует цену лучше, чем 223-ФЗ: </w:t>
      </w:r>
      <w:r>
        <w:rPr>
          <w:sz w:val="20"/>
        </w:rPr>
        <w:t>По 44-ФЗ перерасход встречается в 2.4× реже (5.0% vs 12.0%), средняя дельта в 3× меньше. Это подтверждает, что конкурентные процедуры 44-ФЗ эффективнее сдерживают рост цены.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i/>
          <w:sz w:val="18"/>
        </w:rPr>
        <w:t>Подготовлено: 10 августа 2026 г. | Санкт-Петербург, Российская Федерация</w:t>
      </w:r>
    </w:p>
    <w:sectPr w:rsidR="00FC693F" w:rsidRPr="0006063C" w:rsidSect="00034616">
      <w:pgSz w:w="16838" w:h="11906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