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Relazione tecnica sul consumo energetico</w:t>
      </w:r>
    </w:p>
    <w:p>
      <w:pPr>
        <w:pStyle w:val="Heading1"/>
      </w:pPr>
      <w:r>
        <w:t>Introduzione</w:t>
      </w:r>
    </w:p>
    <w:p>
      <w:r>
        <w:t>Questa relazione descrive il consumo energetico degli edifici comunali nel corso dell'anno. L'analisi è stata condotta su dodici strutture, tra cui scuole, uffici e impianti sportivi.</w:t>
      </w:r>
    </w:p>
    <w:p>
      <w:r>
        <w:t>I dati sono stati raccolti mensilmente dai contatori elettrici e termici. Ogni valore è stato verificato confrontando le letture con le fatture dei fornitori.</w:t>
      </w:r>
    </w:p>
    <w:p>
      <w:pPr>
        <w:pStyle w:val="Heading1"/>
      </w:pPr>
      <w:r>
        <w:t>Metodologia</w:t>
      </w:r>
    </w:p>
    <w:p>
      <w:r>
        <w:t>Per ciascun edificio abbiamo calcolato l'intensità energetica, cioè il rapporto tra energia consumata e superficie utile. Questo indicatore permette di confrontare strutture di dimensioni diverse.</w:t>
      </w:r>
    </w:p>
    <w:p>
      <w:r>
        <w:t>Le misure anomale, dovute a guasti o letture mancanti, sono state sostituite con la media dei mesi adiacenti.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Edificio</w:t>
            </w:r>
          </w:p>
        </w:tc>
        <w:tc>
          <w:tcPr>
            <w:tcW w:type="dxa" w:w="2160"/>
          </w:tcPr>
          <w:p>
            <w:r>
              <w:t>Superficie (m²)</w:t>
            </w:r>
          </w:p>
        </w:tc>
        <w:tc>
          <w:tcPr>
            <w:tcW w:type="dxa" w:w="2160"/>
          </w:tcPr>
          <w:p>
            <w:r>
              <w:t>Consumo (kWh)</w:t>
            </w:r>
          </w:p>
        </w:tc>
        <w:tc>
          <w:tcPr>
            <w:tcW w:type="dxa" w:w="2160"/>
          </w:tcPr>
          <w:p>
            <w:r>
              <w:t>Intensità</w:t>
            </w:r>
          </w:p>
        </w:tc>
      </w:tr>
      <w:tr>
        <w:tc>
          <w:tcPr>
            <w:tcW w:type="dxa" w:w="2160"/>
          </w:tcPr>
          <w:p>
            <w:r>
              <w:t>Scuola Rossi</w:t>
            </w:r>
          </w:p>
        </w:tc>
        <w:tc>
          <w:tcPr>
            <w:tcW w:type="dxa" w:w="2160"/>
          </w:tcPr>
          <w:p>
            <w:r>
              <w:t>2450</w:t>
            </w:r>
          </w:p>
        </w:tc>
        <w:tc>
          <w:tcPr>
            <w:tcW w:type="dxa" w:w="2160"/>
          </w:tcPr>
          <w:p>
            <w:r>
              <w:t>182300</w:t>
            </w:r>
          </w:p>
        </w:tc>
        <w:tc>
          <w:tcPr>
            <w:tcW w:type="dxa" w:w="2160"/>
          </w:tcPr>
          <w:p>
            <w:r>
              <w:t>74,4</w:t>
            </w:r>
          </w:p>
        </w:tc>
      </w:tr>
      <w:tr>
        <w:tc>
          <w:tcPr>
            <w:tcW w:type="dxa" w:w="2160"/>
          </w:tcPr>
          <w:p>
            <w:r>
              <w:t>Municipio</w:t>
            </w:r>
          </w:p>
        </w:tc>
        <w:tc>
          <w:tcPr>
            <w:tcW w:type="dxa" w:w="2160"/>
          </w:tcPr>
          <w:p>
            <w:r>
              <w:t>3120</w:t>
            </w:r>
          </w:p>
        </w:tc>
        <w:tc>
          <w:tcPr>
            <w:tcW w:type="dxa" w:w="2160"/>
          </w:tcPr>
          <w:p>
            <w:r>
              <w:t>251900</w:t>
            </w:r>
          </w:p>
        </w:tc>
        <w:tc>
          <w:tcPr>
            <w:tcW w:type="dxa" w:w="2160"/>
          </w:tcPr>
          <w:p>
            <w:r>
              <w:t>80,7</w:t>
            </w:r>
          </w:p>
        </w:tc>
      </w:tr>
      <w:tr>
        <w:tc>
          <w:tcPr>
            <w:tcW w:type="dxa" w:w="2160"/>
          </w:tcPr>
          <w:p>
            <w:r>
              <w:t>Palestra Nord</w:t>
            </w:r>
          </w:p>
        </w:tc>
        <w:tc>
          <w:tcPr>
            <w:tcW w:type="dxa" w:w="2160"/>
          </w:tcPr>
          <w:p>
            <w:r>
              <w:t>1800</w:t>
            </w:r>
          </w:p>
        </w:tc>
        <w:tc>
          <w:tcPr>
            <w:tcW w:type="dxa" w:w="2160"/>
          </w:tcPr>
          <w:p>
            <w:r>
              <w:t>96400</w:t>
            </w:r>
          </w:p>
        </w:tc>
        <w:tc>
          <w:tcPr>
            <w:tcW w:type="dxa" w:w="2160"/>
          </w:tcPr>
          <w:p>
            <w:r>
              <w:t>53,6</w:t>
            </w:r>
          </w:p>
        </w:tc>
      </w:tr>
      <w:tr>
        <w:tc>
          <w:tcPr>
            <w:tcW w:type="dxa" w:w="2160"/>
          </w:tcPr>
          <w:p>
            <w:r>
              <w:t>Biblioteca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41200</w:t>
            </w:r>
          </w:p>
        </w:tc>
        <w:tc>
          <w:tcPr>
            <w:tcW w:type="dxa" w:w="2160"/>
          </w:tcPr>
          <w:p>
            <w:r>
              <w:t>43,4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Tabella 1: consumi per edificio</w:t>
      </w:r>
    </w:p>
    <w:p>
      <w:pPr>
        <w:pStyle w:val="ListBullet"/>
      </w:pPr>
      <w:r>
        <w:t>Sostituzione delle caldaie con pompe di calore.</w:t>
      </w:r>
    </w:p>
    <w:p>
      <w:pPr>
        <w:pStyle w:val="ListBullet"/>
      </w:pPr>
      <w:r>
        <w:t>Installazione di pannelli fotovoltaici sulle coperture.</w:t>
      </w:r>
    </w:p>
    <w:p>
      <w:pPr>
        <w:pStyle w:val="ListBullet"/>
      </w:pPr>
      <w:r>
        <w:t>Monitoraggio continuo dei consumi con report trimestrali.</w:t>
      </w:r>
    </w:p>
    <w:p>
      <w:pPr>
        <w:pStyle w:val="ListNumber"/>
      </w:pPr>
      <w:r>
        <w:t>Primo passo</w:t>
      </w:r>
    </w:p>
    <w:p>
      <w:pPr>
        <w:pStyle w:val="ListNumber"/>
      </w:pPr>
      <w:r>
        <w:t>Secondo passo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