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7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ПРОЕКТ: МОДЕЛИРОВАНИЕ И ПРОГНОЗИРОВАНИЕ РЫНОЧНЫХ РИСКОВ НА ОСНОВЕ GARCH-МОДЕЛИ</w:t>
      </w:r>
    </w:p>
    <w:p>
      <w:pPr>
        <w:pStyle w:val="a7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Защитный портфель GLD/TLT: расчет VaR, ES и верификация модели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a7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Выполнил: ______________________________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1. Введение и постановка задачи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2. Теоретические основы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3. Описание данных и предварительный анализ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4. Построение модели условной волатильности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5. Расчет мер рыночного риска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6. Бэктестинг и валидация модели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7. Сравнительный анализ подходов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8. Выводы и рекомендации</w:t>
      </w:r>
    </w:p>
    <w:p>
      <w:r>
        <w:br w:type="page"/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1. Введение и постановка задачи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1.1 Актуальность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Управление рыночными рисками является важной задачей не только для портфелей акций, но и для портфелей защитных активов. Золото и долгосрочные казначейские облигации США часто используются инвесторами как инструменты снижения риска, однако их доходности также подвержены резким колебаниям, тяжелым хвостам и периодам повышенной волатильности.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Поэтому для такого портфеля недостаточно рассчитать только среднюю доходность и стандартное отклонение. Необходимо построить модель условной волатильности, рассчитать меры риска VaR и ES, а затем проверить качество модели на тестовой выборке.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1.2 Цель проекта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Цель проекта — построить, оценить и верифицировать модель прогнозирования рыночного риска для защитного портфеля, состоящего на 50% из GLD и на 50% из TLT.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1.3 Задачи проекта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Загрузить дневные рыночные данные по GLD и TLT.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Сформировать портфель с весами 50% GLD и 50% TLT.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Рассчитать дневные логарифмические доходности в процентах.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предварительный статистический анализ доходностей.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Проверить нормальность, стационарность и кластеризацию волатильности.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Построить модель GARCH(1,1) с t-распределением.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Рассчитать VaR и Expected Shortfall на уровнях 95% и 99%.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бэктестинг с использованием теста Купика и теста независимости исключений.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1.4 Объект исследования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Объект исследования — защитный портфель 50% GLD + 50% TLT. Период наблюдений: 2004-11-18 – 2026-05-29. Частота данных — дневная. Количество наблюдений доходности: 5414.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2. Теоретические основы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2.1 Доходность финансовых активов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Логарифмическая доходность рассчитывается по формуле: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r_t = ln(P_t / P_{t-1}) × 100%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Логарифмические доходности удобны для анализа финансовых временных рядов и позволяют корректно описывать относительные изменения цен.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2.2 Модели условной волатильности</w:t>
      </w:r>
    </w:p>
    <w:p>
      <w:pPr>
        <w:pStyle w:val="a6"/>
      </w:pPr>
      <w:r>
        <w:rPr>
          <w:rFonts w:ascii="Times New Roman" w:hAnsi="Times New Roman" w:eastAsia="Times New Roman"/>
          <w:b/>
          <w:i w:val="0"/>
          <w:sz w:val="24"/>
        </w:rPr>
        <w:t>2.2.1 Модель GARCH(1,1)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GARCH-модель описывает условную дисперсию доходности через прошлые шоки и прошлую дисперсию: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σ_t² = ω + α ε_{t-1}² + β σ_{t-1}²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Параметр α + β называется персистентностью волатильности. Чем ближе это значение к 1, тем дольше сохраняется влияние рыночных шоков.</w:t>
      </w:r>
    </w:p>
    <w:p>
      <w:pPr>
        <w:pStyle w:val="a6"/>
      </w:pPr>
      <w:r>
        <w:rPr>
          <w:rFonts w:ascii="Times New Roman" w:hAnsi="Times New Roman" w:eastAsia="Times New Roman"/>
          <w:b/>
          <w:i w:val="0"/>
          <w:sz w:val="24"/>
        </w:rPr>
        <w:t>2.2.2 t-распределение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Финансовые доходности часто имеют тяжелые хвосты, поэтому нормальное распределение может недооценивать вероятность экстремальных потерь. В проекте используется t-распределение, параметр ν которого отвечает за толщину хвостов.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2.3 Меры рыночного риска</w:t>
      </w:r>
    </w:p>
    <w:p>
      <w:pPr>
        <w:pStyle w:val="a6"/>
      </w:pPr>
      <w:r>
        <w:rPr>
          <w:rFonts w:ascii="Times New Roman" w:hAnsi="Times New Roman" w:eastAsia="Times New Roman"/>
          <w:b/>
          <w:i w:val="0"/>
          <w:sz w:val="24"/>
        </w:rPr>
        <w:t>2.3.1 Value-at-Risk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VaR показывает порог потерь, который превышается только с заданной вероятностью α. Для модели GARCH однодневный VaR рассчитывается как: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VaR_{t+1}(α) = μ + σ_{t+1} q_α</w:t>
      </w:r>
    </w:p>
    <w:p>
      <w:pPr>
        <w:pStyle w:val="a6"/>
      </w:pPr>
      <w:r>
        <w:rPr>
          <w:rFonts w:ascii="Times New Roman" w:hAnsi="Times New Roman" w:eastAsia="Times New Roman"/>
          <w:b/>
          <w:i w:val="0"/>
          <w:sz w:val="24"/>
        </w:rPr>
        <w:t>2.3.2 Expected Shortfall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Expected Shortfall показывает среднюю потерю в тех случаях, когда потери уже превысили VaR. Поэтому ES является более строгой мерой хвостового риска.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2.4 Тест Купика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Тест Купика проверяет, соответствует ли фактическая доля VaR-исключений теоретическому уровню α. Если p-value больше 0,05, модель не отвергается по критерию безусловного покрытия.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3. Описание данных и предварительный анализ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3.1 Источник и период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Источник данных — Yahoo Finance через библиотеку yfinance. Период: 2004-11-18 – 2026-05-29. Портфель формируется из GLD и TLT с равными весами.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Актив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Тикер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Вес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Экономический смысл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SPDR Gold Shares ETF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GLD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50%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ETF на золото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iShares 20+ Year Treasury Bond ETF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TLT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50%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Долгосрочные казначейские облигации США</w:t>
            </w:r>
          </w:p>
        </w:tc>
      </w:tr>
    </w:tbl>
    <w:p/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3.2 Графический анализ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717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1. Динамика цен, доходности, распределение и QQ-график портфеля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На рисунке видно, что доходности портфеля колеблются около нуля, но в отдельные периоды возникают резкие скачки. Распределение доходностей имеет более тяжелые хвосты по сравнению с нормальным распределением.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3.3 Статистические свойства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Средняя дневная доходность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0.0291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Дневная волатильность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0.7867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Годовая волатильность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12.4881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Минимум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-5.5690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5.7281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Асимметрия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-0.1137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Избыточный эксцесс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3.2408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Jarque-Bera p-value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ADF p-value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i w:val="0"/>
          <w:sz w:val="24"/>
        </w:rPr>
        <w:t>Средняя дневная доходность портфеля составила 0.029%, дневная волатильность — 0.787%, годовая волатильность — 12.49%. Избыточный эксцесс равен 3.24, что указывает на тяжелые хвосты. p-value теста Жарка-Бера равно 0.000000, поэтому гипотеза о нормальности отвергается. ADF p-value равно 0.000000, что позволяет считать ряд доходностей стационарным.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3.4 Статистика активов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Актив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Средняя доходность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Дневная σ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Годовая σ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Эксцесс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GLD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0.0414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1.1436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18.154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9.842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TLT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0.0123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0.9181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14.574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6.442</w:t>
            </w:r>
          </w:p>
        </w:tc>
      </w:tr>
    </w:tbl>
    <w:p/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3.5 Анализ автокорреляции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Лаг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Доходности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Квадраты доходностей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0.2672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0.0333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0.0079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0.0329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i w:val="0"/>
          <w:sz w:val="24"/>
        </w:rPr>
        <w:t>p-value для квадратов доходностей близки к нулю, что подтверждает кластеризацию волатильности. Это является основанием для применения GARCH-модели.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72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olat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2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2. Анализ волатильности и ACF квадратов доходностей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4. Построение модели условной волатильности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4.1 Разделение выборки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Выборка разделена на обучающую и тестовую части в пропорции 80/20. На обучающей выборке оцениваются параметры модели, а на тестовой выборке проводится прогнозирование VaR и backtesting.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4.2 Оценка модели GARCH(1,1) с t-распределением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Параметр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Коэффициент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Ст. ошибка</w:t>
            </w:r>
          </w:p>
        </w:tc>
        <w:tc>
          <w:tcPr>
            <w:tcW w:type="dxa" w:w="2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0.0327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0.0098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0.0009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omega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0.0076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0.0020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0.0002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alpha[1]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0.0460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0.0067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beta[1]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0.9405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0.0087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7.7785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0.8513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alpha[1] + beta[1]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0.9865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i w:val="0"/>
          <w:sz w:val="24"/>
        </w:rPr>
        <w:t>Персистентность волатильности α + β равна 0.9865. Это значение близко к 1, поэтому влияние рыночных шоков сохраняется достаточно долго. Параметр хвостов ν равен 7.78, что подтверждает целесообразность использования t-распределения.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4.3 Диагностика остатков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722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rch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2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3. Диагностика стандартизованных остатков GARCH-модели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Диагностика остатков показывает, насколько хорошо модель описывает условную волатильность. После оценки GARCH важно проверить распределение стандартизованных остатков и автокорреляцию их квадратов.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5. Расчет мер рыночного риска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5.1 Прогнозирование условной дисперсии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На тестовой выборке строится последовательный one-step-ahead прогноз условной волатильности. На основе этой волатильности рассчитываются VaR и ES.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5.2 Последний прогноз риска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GARCH sigma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0.8593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 95% GARCH-t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-1.3497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 99% GARCH-t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-2.1273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ES 95% GARCH-t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-1.8409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ES 99% GARCH-t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-2.6526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i w:val="0"/>
          <w:sz w:val="24"/>
        </w:rPr>
        <w:t>VaR показывает порог возможной дневной потери, а ES показывает среднюю потерю в наиболее неблагоприятных случаях. Поэтому ES дополняет VaR и дает более полное представление о хвостовом риске.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6. Бэктестинг и валидация модели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6.1 Исключения VaR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726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r_back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2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4. Фактические доходности, прогнозный VaR и исключения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Исключение возникает, когда фактическая доходность оказывается ниже прогнозного VaR. Для корректной модели доля исключений должна быть близка к выбранному уровню значимости.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6.2 Результаты тестов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Модель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Уровень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Искл.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Ожид.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Kupiec p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Ind p</w:t>
            </w:r>
          </w:p>
        </w:tc>
        <w:tc>
          <w:tcPr>
            <w:tcW w:type="dxa" w:w="11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Решение</w:t>
            </w:r>
          </w:p>
        </w:tc>
      </w:tr>
      <w:tr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GARCH(1,1)-t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95%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62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54.15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0.2842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0.8047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</w:t>
            </w:r>
          </w:p>
        </w:tc>
      </w:tr>
      <w:tr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GARCH(1,1)-t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99%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0.9587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0.6345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</w:t>
            </w:r>
          </w:p>
        </w:tc>
      </w:tr>
      <w:tr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GARCH-normal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95%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56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54.15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0.7975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0.9500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</w:t>
            </w:r>
          </w:p>
        </w:tc>
      </w:tr>
      <w:tr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Historical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95%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59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54.15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0.5048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0.8970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</w:t>
            </w:r>
          </w:p>
        </w:tc>
      </w:tr>
      <w:tr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Historical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99%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10.83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0.5206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0.5739</w:t>
            </w:r>
          </w:p>
        </w:tc>
        <w:tc>
          <w:tcPr>
            <w:tcW w:type="dxa" w:w="11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i w:val="0"/>
          <w:sz w:val="24"/>
        </w:rPr>
        <w:t>Для основной модели GARCH-t на уровне 95% получено 62 исключений из 1083 наблюдений, p-value теста Купика равно 0.2842. На уровне 99% получено 11 исключений, p-value равно 0.9587. В обоих случаях модель не отвергается по тесту Купика.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7. Сравнительный анализ подходов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7.1 GARCH-t, GARCH-normal и историческая симуляция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В проекте сравниваются три подхода: GARCH с t-распределением, GARCH с нормальным распределением и историческая симуляция. GARCH-t учитывает одновременно изменяющуюся волатильность и тяжелые хвосты, GARCH-normal учитывает только динамику волатильности, а историческая симуляция не требует параметрических предположений, но медленнее реагирует на смену рыночного режима.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7.2 Корреляция активов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Актив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GLD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TLT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GLD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0.1562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TLT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0.1562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42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ssets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4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5. Доходности GLD и TLT и их скользящая корреляция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Корреляция между GLD и TLT важна для понимания диверсификационного эффекта. Даже если средняя корреляция невысока, во времени она может заметно меняться.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8. Выводы и рекомендации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Доходности защитного портфеля GLD/TLT имеют тяжелые хвосты, поэтому нормальное распределение не является достаточным описанием риска.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Тесты Ljung-Box для квадратов доходностей подтверждают кластеризацию волатильности и обосновывают применение GARCH-модели.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Модель GARCH(1,1) с t-распределением позволяет получать динамические прогнозы VaR и ES.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Backtesting показывает, что основная модель GARCH-t не отвергается по тесту Купика на уровнях 95% и 99%.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Историческая симуляция может использоваться как простой контрольный ориентир, но GARCH-модель лучше адаптируется к изменению волатильности.</w:t>
      </w:r>
    </w:p>
    <w:p>
      <w:pPr>
        <w:pStyle w:val="3"/>
      </w:pPr>
      <w:r>
        <w:rPr>
          <w:rFonts w:ascii="Times New Roman" w:hAnsi="Times New Roman" w:eastAsia="Times New Roman"/>
          <w:b/>
          <w:i w:val="0"/>
          <w:sz w:val="24"/>
        </w:rPr>
        <w:t>8.1 Итоговое заключение</w:t>
      </w:r>
    </w:p>
    <w:p>
      <w:pPr/>
      <w:r>
        <w:rPr>
          <w:rFonts w:ascii="Times New Roman" w:hAnsi="Times New Roman" w:eastAsia="Times New Roman"/>
          <w:b w:val="0"/>
          <w:i w:val="0"/>
          <w:sz w:val="24"/>
        </w:rPr>
        <w:t>Построенная модель показывает, что даже защитный портфель требует полноценной оценки рыночного риска. GLD и TLT могут использоваться для диверсификации, однако портфель не является безрисковым. GARCH-VaR позволяет учитывать изменяющуюся во времени волатильность и получать более информативную оценку риска.</w:t>
      </w:r>
    </w:p>
    <w:p>
      <w:pPr>
        <w:pStyle w:val="2"/>
      </w:pPr>
      <w:r>
        <w:rPr>
          <w:rFonts w:ascii="Times New Roman" w:hAnsi="Times New Roman" w:eastAsia="Times New Roman"/>
          <w:b/>
          <w:i w:val="0"/>
          <w:sz w:val="28"/>
        </w:rPr>
        <w:t>Список источников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Yahoo Finance — исторические данные по GLD и TLT.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Bollerslev T. Generalized Autoregressive Conditional Heteroskedasticity.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Jorion P. Value at Risk: The New Benchmark for Managing Financial Risk.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Hull J. Risk Management and Financial Institutions.</w:t>
      </w:r>
    </w:p>
    <w:p>
      <w:pPr>
        <w:pStyle w:val="a5"/>
      </w:pPr>
      <w:r>
        <w:rPr>
          <w:rFonts w:ascii="Times New Roman" w:hAnsi="Times New Roman" w:eastAsia="Times New Roman"/>
          <w:b w:val="0"/>
          <w:i w:val="0"/>
          <w:sz w:val="24"/>
        </w:rPr>
        <w:t>Документация Python-библиотек pandas, scipy, statsmodels, arch, yfinance.</w:t>
      </w:r>
    </w:p>
    <w:sectPr w:rsidR="00F01C2F" w:rsidRPr="00D57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2F48"/>
    <w:multiLevelType w:val="hybridMultilevel"/>
    <w:tmpl w:val="24BCB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C625B"/>
    <w:multiLevelType w:val="hybridMultilevel"/>
    <w:tmpl w:val="F7A63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35AD7"/>
    <w:multiLevelType w:val="hybridMultilevel"/>
    <w:tmpl w:val="4ECE9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42394"/>
    <w:multiLevelType w:val="hybridMultilevel"/>
    <w:tmpl w:val="1764D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90F63"/>
    <w:multiLevelType w:val="hybridMultilevel"/>
    <w:tmpl w:val="D7AC9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C0B61"/>
    <w:multiLevelType w:val="hybridMultilevel"/>
    <w:tmpl w:val="6D78F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A5BE0"/>
    <w:multiLevelType w:val="hybridMultilevel"/>
    <w:tmpl w:val="E656F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50ECF"/>
    <w:multiLevelType w:val="hybridMultilevel"/>
    <w:tmpl w:val="A6B27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1525B"/>
    <w:multiLevelType w:val="hybridMultilevel"/>
    <w:tmpl w:val="637E5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80AED"/>
    <w:multiLevelType w:val="hybridMultilevel"/>
    <w:tmpl w:val="A1FA8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8589B"/>
    <w:multiLevelType w:val="hybridMultilevel"/>
    <w:tmpl w:val="D916B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6"/>
  </w:num>
  <w:num w:numId="8">
    <w:abstractNumId w:val="0"/>
  </w:num>
  <w:num w:numId="9">
    <w:abstractNumId w:val="4"/>
  </w:num>
  <w:num w:numId="10">
    <w:abstractNumId w:val="1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4CC"/>
    <w:rsid w:val="000448BE"/>
    <w:rsid w:val="00184D24"/>
    <w:rsid w:val="003C4471"/>
    <w:rsid w:val="0048391D"/>
    <w:rsid w:val="004C0028"/>
    <w:rsid w:val="005B6D16"/>
    <w:rsid w:val="00601844"/>
    <w:rsid w:val="006B35BD"/>
    <w:rsid w:val="007F4705"/>
    <w:rsid w:val="00982705"/>
    <w:rsid w:val="009E6B76"/>
    <w:rsid w:val="00B554CC"/>
    <w:rsid w:val="00BD2924"/>
    <w:rsid w:val="00D57B7C"/>
    <w:rsid w:val="00D67CE7"/>
    <w:rsid w:val="00E27ECC"/>
    <w:rsid w:val="00F0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3BF0F"/>
  <w15:chartTrackingRefBased/>
  <w15:docId w15:val="{372847C7-7371-470E-9A2F-FBA1273F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76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57B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E6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6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57B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E6B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6B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6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6B76"/>
    <w:rPr>
      <w:b/>
      <w:bCs/>
    </w:rPr>
  </w:style>
  <w:style w:type="character" w:styleId="HTML">
    <w:name w:val="HTML Code"/>
    <w:basedOn w:val="a0"/>
    <w:uiPriority w:val="99"/>
    <w:semiHidden/>
    <w:unhideWhenUsed/>
    <w:rsid w:val="009E6B7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E6B76"/>
  </w:style>
  <w:style w:type="paragraph" w:styleId="HTML0">
    <w:name w:val="HTML Preformatted"/>
    <w:basedOn w:val="a"/>
    <w:link w:val="HTML1"/>
    <w:uiPriority w:val="99"/>
    <w:semiHidden/>
    <w:unhideWhenUsed/>
    <w:rsid w:val="009E6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6B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E6B76"/>
  </w:style>
  <w:style w:type="character" w:styleId="a4">
    <w:name w:val="Emphasis"/>
    <w:basedOn w:val="a0"/>
    <w:uiPriority w:val="20"/>
    <w:qFormat/>
    <w:rsid w:val="009E6B76"/>
    <w:rPr>
      <w:i/>
      <w:iCs/>
    </w:rPr>
  </w:style>
  <w:style w:type="paragraph" w:styleId="a5">
    <w:name w:val="List Paragraph"/>
    <w:basedOn w:val="a"/>
    <w:uiPriority w:val="34"/>
    <w:qFormat/>
    <w:rsid w:val="009E6B76"/>
    <w:pPr>
      <w:spacing w:after="0" w:line="276" w:lineRule="auto"/>
      <w:ind w:left="720"/>
      <w:contextualSpacing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D57B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57B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D57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D57B7C"/>
  </w:style>
  <w:style w:type="character" w:customStyle="1" w:styleId="katex-mathml">
    <w:name w:val="katex-mathml"/>
    <w:basedOn w:val="a0"/>
    <w:rsid w:val="00D57B7C"/>
  </w:style>
  <w:style w:type="character" w:customStyle="1" w:styleId="katex-html">
    <w:name w:val="katex-html"/>
    <w:basedOn w:val="a0"/>
    <w:rsid w:val="00D57B7C"/>
  </w:style>
  <w:style w:type="character" w:customStyle="1" w:styleId="base">
    <w:name w:val="base"/>
    <w:basedOn w:val="a0"/>
    <w:rsid w:val="00D57B7C"/>
  </w:style>
  <w:style w:type="character" w:customStyle="1" w:styleId="strut">
    <w:name w:val="strut"/>
    <w:basedOn w:val="a0"/>
    <w:rsid w:val="00D57B7C"/>
  </w:style>
  <w:style w:type="character" w:customStyle="1" w:styleId="mord">
    <w:name w:val="mord"/>
    <w:basedOn w:val="a0"/>
    <w:rsid w:val="00D57B7C"/>
  </w:style>
  <w:style w:type="character" w:customStyle="1" w:styleId="msupsub">
    <w:name w:val="msupsub"/>
    <w:basedOn w:val="a0"/>
    <w:rsid w:val="00D57B7C"/>
  </w:style>
  <w:style w:type="character" w:customStyle="1" w:styleId="vlist-t">
    <w:name w:val="vlist-t"/>
    <w:basedOn w:val="a0"/>
    <w:rsid w:val="00D57B7C"/>
  </w:style>
  <w:style w:type="character" w:customStyle="1" w:styleId="vlist-r">
    <w:name w:val="vlist-r"/>
    <w:basedOn w:val="a0"/>
    <w:rsid w:val="00D57B7C"/>
  </w:style>
  <w:style w:type="character" w:customStyle="1" w:styleId="vlist">
    <w:name w:val="vlist"/>
    <w:basedOn w:val="a0"/>
    <w:rsid w:val="00D57B7C"/>
  </w:style>
  <w:style w:type="character" w:customStyle="1" w:styleId="pstrut">
    <w:name w:val="pstrut"/>
    <w:basedOn w:val="a0"/>
    <w:rsid w:val="00D57B7C"/>
  </w:style>
  <w:style w:type="character" w:customStyle="1" w:styleId="sizing">
    <w:name w:val="sizing"/>
    <w:basedOn w:val="a0"/>
    <w:rsid w:val="00D57B7C"/>
  </w:style>
  <w:style w:type="character" w:customStyle="1" w:styleId="vlist-s">
    <w:name w:val="vlist-s"/>
    <w:basedOn w:val="a0"/>
    <w:rsid w:val="00D57B7C"/>
  </w:style>
  <w:style w:type="character" w:customStyle="1" w:styleId="katex-display">
    <w:name w:val="katex-display"/>
    <w:basedOn w:val="a0"/>
    <w:rsid w:val="00D57B7C"/>
  </w:style>
  <w:style w:type="character" w:customStyle="1" w:styleId="mspace">
    <w:name w:val="mspace"/>
    <w:basedOn w:val="a0"/>
    <w:rsid w:val="00D57B7C"/>
  </w:style>
  <w:style w:type="character" w:customStyle="1" w:styleId="mrel">
    <w:name w:val="mrel"/>
    <w:basedOn w:val="a0"/>
    <w:rsid w:val="00D57B7C"/>
  </w:style>
  <w:style w:type="character" w:customStyle="1" w:styleId="mop">
    <w:name w:val="mop"/>
    <w:basedOn w:val="a0"/>
    <w:rsid w:val="00D57B7C"/>
  </w:style>
  <w:style w:type="character" w:customStyle="1" w:styleId="minner">
    <w:name w:val="minner"/>
    <w:basedOn w:val="a0"/>
    <w:rsid w:val="00D57B7C"/>
  </w:style>
  <w:style w:type="character" w:customStyle="1" w:styleId="mopen">
    <w:name w:val="mopen"/>
    <w:basedOn w:val="a0"/>
    <w:rsid w:val="00D57B7C"/>
  </w:style>
  <w:style w:type="character" w:customStyle="1" w:styleId="delimsizing">
    <w:name w:val="delimsizing"/>
    <w:basedOn w:val="a0"/>
    <w:rsid w:val="00D57B7C"/>
  </w:style>
  <w:style w:type="character" w:customStyle="1" w:styleId="mfrac">
    <w:name w:val="mfrac"/>
    <w:basedOn w:val="a0"/>
    <w:rsid w:val="00D57B7C"/>
  </w:style>
  <w:style w:type="character" w:customStyle="1" w:styleId="mbin">
    <w:name w:val="mbin"/>
    <w:basedOn w:val="a0"/>
    <w:rsid w:val="00D57B7C"/>
  </w:style>
  <w:style w:type="character" w:customStyle="1" w:styleId="frac-line">
    <w:name w:val="frac-line"/>
    <w:basedOn w:val="a0"/>
    <w:rsid w:val="00D57B7C"/>
  </w:style>
  <w:style w:type="character" w:customStyle="1" w:styleId="mclose">
    <w:name w:val="mclose"/>
    <w:basedOn w:val="a0"/>
    <w:rsid w:val="00D57B7C"/>
  </w:style>
  <w:style w:type="character" w:customStyle="1" w:styleId="mpunct">
    <w:name w:val="mpunct"/>
    <w:basedOn w:val="a0"/>
    <w:rsid w:val="00D57B7C"/>
  </w:style>
  <w:style w:type="character" w:customStyle="1" w:styleId="svg-align">
    <w:name w:val="svg-align"/>
    <w:basedOn w:val="a0"/>
    <w:rsid w:val="00D57B7C"/>
  </w:style>
  <w:style w:type="character" w:customStyle="1" w:styleId="hide-tail">
    <w:name w:val="hide-tail"/>
    <w:basedOn w:val="a0"/>
    <w:rsid w:val="00D57B7C"/>
  </w:style>
  <w:style w:type="character" w:customStyle="1" w:styleId="accent-body">
    <w:name w:val="accent-body"/>
    <w:basedOn w:val="a0"/>
    <w:rsid w:val="00D57B7C"/>
  </w:style>
  <w:style w:type="character" w:customStyle="1" w:styleId="thinbox">
    <w:name w:val="thinbox"/>
    <w:basedOn w:val="a0"/>
    <w:rsid w:val="00D57B7C"/>
  </w:style>
  <w:style w:type="character" w:customStyle="1" w:styleId="rlap">
    <w:name w:val="rlap"/>
    <w:basedOn w:val="a0"/>
    <w:rsid w:val="00D57B7C"/>
  </w:style>
  <w:style w:type="character" w:customStyle="1" w:styleId="inner">
    <w:name w:val="inner"/>
    <w:basedOn w:val="a0"/>
    <w:rsid w:val="00D57B7C"/>
  </w:style>
  <w:style w:type="character" w:customStyle="1" w:styleId="fix">
    <w:name w:val="fix"/>
    <w:basedOn w:val="a0"/>
    <w:rsid w:val="00D57B7C"/>
  </w:style>
  <w:style w:type="paragraph" w:styleId="a6">
    <w:name w:val="No Spacing"/>
    <w:uiPriority w:val="1"/>
    <w:qFormat/>
    <w:rsid w:val="00D57B7C"/>
    <w:pPr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rsid w:val="004839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8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rsid w:val="00D67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184D2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84D2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84D24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184D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3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763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0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866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1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7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86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661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4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2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4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2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0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0A407-6CAE-409B-9D87-C4A92D1A0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13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defined</dc:creator>
  <cp:keywords/>
  <dc:description/>
  <cp:lastModifiedBy>defined</cp:lastModifiedBy>
  <cp:revision>5</cp:revision>
  <dcterms:created xsi:type="dcterms:W3CDTF">2026-05-30T20:13:00Z</dcterms:created>
  <dcterms:modified xsi:type="dcterms:W3CDTF">2026-05-31T15:32:00Z</dcterms:modified>
</cp:coreProperties>
</file>