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615E5" w:rsidRPr="00947BD5" w:rsidTr="00E61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tbl>
            <w:tblPr>
              <w:tblStyle w:val="LightShading-Accent5"/>
              <w:tblW w:w="0" w:type="auto"/>
              <w:tblLook w:val="04A0" w:firstRow="1" w:lastRow="0" w:firstColumn="1" w:lastColumn="0" w:noHBand="0" w:noVBand="1"/>
            </w:tblPr>
            <w:tblGrid>
              <w:gridCol w:w="9026"/>
            </w:tblGrid>
            <w:tr w:rsidR="00E615E5" w:rsidRPr="00947BD5" w:rsidTr="009020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42" w:type="dxa"/>
                </w:tcPr>
                <w:tbl>
                  <w:tblPr>
                    <w:tblStyle w:val="LightShading-Accent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10"/>
                  </w:tblGrid>
                  <w:tr w:rsidR="00E615E5" w:rsidRPr="00947BD5" w:rsidTr="00365C1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242" w:type="dxa"/>
                      </w:tcPr>
                      <w:p w:rsidR="00E615E5" w:rsidRPr="00947BD5" w:rsidRDefault="001D6BCB" w:rsidP="00902086">
                        <w:pPr>
                          <w:jc w:val="center"/>
                          <w:rPr>
                            <w:rFonts w:cstheme="minorHAnsi"/>
                            <w:b w:val="0"/>
                            <w:color w:val="0070C0"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  <w:r w:rsidRPr="00947BD5"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  <w:t>INTEGRATIVE HEALTHCARE SERIES</w:t>
                        </w:r>
                      </w:p>
                    </w:tc>
                  </w:tr>
                  <w:tr w:rsidR="00E615E5" w:rsidRPr="00947BD5" w:rsidTr="00365C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242" w:type="dxa"/>
                      </w:tcPr>
                      <w:p w:rsidR="00E615E5" w:rsidRPr="00947BD5" w:rsidRDefault="00E615E5" w:rsidP="00902086">
                        <w:pPr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00"/>
                  </w:tblGrid>
                  <w:tr w:rsidR="00E615E5" w:rsidRPr="00947BD5" w:rsidTr="00E615E5">
                    <w:tc>
                      <w:tcPr>
                        <w:tcW w:w="8800" w:type="dxa"/>
                      </w:tcPr>
                      <w:tbl>
                        <w:tblPr>
                          <w:tblStyle w:val="LightShading-Accent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584"/>
                        </w:tblGrid>
                        <w:tr w:rsidR="00E615E5" w:rsidRPr="00947BD5" w:rsidTr="00365C1B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9242" w:type="dxa"/>
                            </w:tcPr>
                            <w:p w:rsidR="00E615E5" w:rsidRPr="00947BD5" w:rsidRDefault="00E615E5" w:rsidP="001D6BCB">
                              <w:pPr>
                                <w:jc w:val="both"/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947BD5"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  <w:t>BACKGROUND</w:t>
                              </w:r>
                            </w:p>
                            <w:p w:rsidR="00E615E5" w:rsidRPr="00947BD5" w:rsidRDefault="00E615E5" w:rsidP="001D6BCB">
                              <w:pPr>
                                <w:jc w:val="both"/>
                                <w:rPr>
                                  <w:rFonts w:cstheme="minorHAnsi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947BD5">
                                <w:rPr>
                                  <w:rFonts w:cstheme="minorHAnsi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HEALTHCOM MEDIA, UK has developed an exciting new series of titles in integrative healthcare which will focus on multidisciplinary team approaches to patient management and also take a wider look at integrated approaches to healthcare provision within the community</w:t>
                              </w:r>
                              <w:r w:rsidR="00402440">
                                <w:rPr>
                                  <w:rFonts w:cstheme="minorHAnsi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E615E5" w:rsidRPr="00947BD5" w:rsidRDefault="00E615E5" w:rsidP="001D6BCB">
                              <w:pPr>
                                <w:jc w:val="both"/>
                                <w:rPr>
                                  <w:rFonts w:cstheme="minorHAnsi"/>
                                  <w:b w:val="0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Style w:val="LightShading-Accent4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68"/>
                              </w:tblGrid>
                              <w:tr w:rsidR="00E615E5" w:rsidRPr="00947BD5" w:rsidTr="00E615E5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8584" w:type="dxa"/>
                                  </w:tcPr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TITLE:  THE MULTIDISCIPLINARY TEAM APPROACH IN MANAGEMENT OF HEPATOCELLULAR CARCINOMA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-----------------------------------------------------------------------------------------------------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eastAsiaTheme="minorHAnsi" w:hAnsiTheme="minorHAnsi" w:cstheme="minorHAnsi"/>
                                        <w:color w:val="0070C0"/>
                                        <w:lang w:eastAsia="en-US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eastAsiaTheme="minorHAnsi" w:hAnsiTheme="minorHAnsi" w:cstheme="minorHAnsi"/>
                                        <w:color w:val="0070C0"/>
                                        <w:lang w:eastAsia="en-US"/>
                                      </w:rPr>
                                      <w:t xml:space="preserve">AUTHORS: 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-----------------------------------------------------------------------------------------------------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CommentText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Today, cancer management demands increasing specialization and a multidisciplinary team (MDT) approach where a variety of healthcare professionals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>who possess expertise in their respective fields,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work closely together.  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CommentText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Hepatocellular carcinoma (HCC) is an aggressive tumour that frequently occurs in the setting of cirrhosis. Disease extent and the patient's hepatic reserve dictate the therapeutic options.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CommentText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The core MD team includes hepatologists, transplant and hepatobiliary surgeons, </w:t>
                                    </w:r>
                                    <w:r w:rsidR="001D6BCB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adiologis</w:t>
                                    </w:r>
                                    <w:r w:rsidR="001D6BCB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ts, interventional radiologists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, radiation oncologists, 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medical oncologists, nurses, and social workers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CommentText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Together, they ensure that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all patients receive timely, continuous, integrated and improved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quality of cancer care.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MDT approach has a patient-centred approach and improves coordination of care and outcomes including quality of life and survival.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ind w:left="72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ind w:left="72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CONTENTS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HEPATOCELLULAR CARCINOMA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3"/>
                                      </w:numPr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An overview of HCC is presented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 xml:space="preserve">.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Epidemiology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 xml:space="preserve">,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aetiopathology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 xml:space="preserve">,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clinical presentation, diagnosis and staging are discussed.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3"/>
                                      </w:numPr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Various treatment modalities including liver transplantation, partial hepatectomy,  percutaneous ethanol injection (PEI), transarterial chemoembolization (TACE), transarterial radioembolization (TARE) with Yttrium-90 (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  <w:vertAlign w:val="superscript"/>
                                      </w:rPr>
                                      <w:t>90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Y),  radiofrequency ablation, cryosurgery), external beam radiotherapy (RT), systemic therapy</w:t>
                                    </w:r>
                                    <w:r w:rsidR="00947BD5"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,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 </w:t>
                                    </w:r>
                                    <w:r w:rsidR="00947BD5"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role of novel drugs such as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 sorafenib are outlined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eastAsia="Times New Roman"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AASLD/ESMO/NCCN/BSG</w:t>
                                    </w:r>
                                    <w:r w:rsidRPr="00947BD5">
                                      <w:rPr>
                                        <w:rFonts w:eastAsia="Times New Roman"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treatment guidelines for management of HCC  are presented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Algorithm for  treatment is included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ROLE OF THE MULTIDISCIPLINARY TEAM IN MANAGEMENT OF  HCC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3"/>
                                      </w:numPr>
                                      <w:shd w:val="clear" w:color="auto" w:fill="FFFFFF"/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A multidisciplinary team of physicians is essential for the successful treatment of HCC. The benefits of multidisciplinary disease management of patients include</w:t>
                                    </w:r>
                                    <w:hyperlink r:id="rId6" w:anchor="27" w:tooltip="Demetri/&lt;em&gt;J Natl Compr Canc Netw&lt;/em&gt;/2010" w:history="1"/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  reducing recurrent disease, optimizing timing of surgery,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lastRenderedPageBreak/>
                                      <w:t>prolonging survival for the patient and enhancing response to therapies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.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>HCC – A candidate for the MDT approach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Style w:val="Emphasis"/>
                                        <w:rFonts w:cstheme="minorHAnsi"/>
                                        <w:b w:val="0"/>
                                        <w:i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As there are a variety of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i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947BD5">
                                      <w:rPr>
                                        <w:rStyle w:val="Emphasis"/>
                                        <w:rFonts w:cstheme="minorHAnsi"/>
                                        <w:b w:val="0"/>
                                        <w:i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therapeutic options available for patients with HCC, a multidisciplinary team is essential for management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Multidisciplinary teams are involved in the diagnosis and staging of HCC, treatment plans and delivery and they ensure that patient is involved in the decision making process.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The Core MDT in HCC,  </w:t>
                                    </w:r>
                                    <w:r w:rsidR="001D6BCB"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>i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>ndividual roles and communication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CommentText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The core MD</w:t>
                                    </w:r>
                                    <w:r w:rsidR="00947BD5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 in HCC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includes hepatologists, transplant </w:t>
                                    </w:r>
                                    <w:r w:rsidR="00947BD5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hepatobiliary surgeons, radiologis</w:t>
                                    </w:r>
                                    <w:r w:rsidR="00947BD5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ts, interventional radiologists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, radiation </w:t>
                                    </w:r>
                                    <w:proofErr w:type="gramStart"/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oncologists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medical</w:t>
                                    </w:r>
                                    <w:proofErr w:type="gramEnd"/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oncologists, nurses, and social workers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9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The 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hepatologist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is involved in the surveillance and early diagnosis of HCC. A majority of patients with HCC have underlying liver disease, which may be related to infection with hepatitis B virus (HBV) and/or hepatitis C virus (HCV). Furthermore, patients who undergo treatment are at high risk for recurrent disease and of progression to liver failure. </w:t>
                                    </w:r>
                                    <w:r w:rsidR="00947BD5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atients with more advanced liver disease </w:t>
                                    </w:r>
                                    <w:r w:rsidR="00947BD5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need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proper monitoring and assessment of their underlying liver disease, which may have a major impact on longer term survival. The hepatologist provides comprehensive care of patients with cirrhosis with antiviral therapy for HBV and HCV, immunization against hepatitis A and HBV, and endoscopic screening and surveillance for varices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  <w:lang w:val="en-US"/>
                                      </w:rPr>
                                      <w:t>T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he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hepatobiliary surgeon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 is an important MDT member. His role is to consider information gathered from the other MDT members when determining whether a HCC is suitable for resection /liver transplantation and when formulating a surgical plan.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The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</w:rPr>
                                      <w:t>radiologist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 xml:space="preserve"> is involved in the surveillance, diagnosis of HCC by CT / MRI,  and follow-up monitoring of patients with HCC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numPr>
                                        <w:ilvl w:val="1"/>
                                        <w:numId w:val="4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Interventional radiologist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provides expertise in procedures such as embolization, chemoembolization and ablative treatments in patients with HCC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numPr>
                                        <w:ilvl w:val="1"/>
                                        <w:numId w:val="4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The radiation oncologist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administer</w:t>
                                    </w:r>
                                    <w:r w:rsidR="001D6BCB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external beam radiotherapy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numPr>
                                        <w:ilvl w:val="1"/>
                                        <w:numId w:val="4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Medical oncologist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contributes to the </w:t>
                                    </w:r>
                                    <w:r w:rsidR="00402440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treatment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with </w:t>
                                    </w:r>
                                    <w:r w:rsidR="00947BD5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chemotherapy and </w:t>
                                    </w:r>
                                    <w:r w:rsidR="00402440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use of </w:t>
                                    </w:r>
                                    <w:r w:rsidR="00947BD5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novel agents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such as sorafenib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color w:val="0070C0"/>
                                        <w:lang w:val="en-US"/>
                                      </w:rPr>
                                      <w:t>Oncology nurses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are involved in the long-term care of patients with HCC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eastAsia="Times New Roman"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Consultations between the </w:t>
                                    </w:r>
                                    <w:r w:rsidR="001D6BCB" w:rsidRPr="00947BD5">
                                      <w:rPr>
                                        <w:rFonts w:eastAsia="Times New Roman"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hepatoologist, hepatobiliary/transplant </w:t>
                                    </w:r>
                                    <w:r w:rsidRPr="00947BD5">
                                      <w:rPr>
                                        <w:rFonts w:eastAsia="Times New Roman"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surgeon, radiologist,   interventional radiologist and medical oncologist, are essential to ensure optimal care of patients with HCC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Treatment options for patients with HCC include surgery, embolization (+/- chemotherapy) and medical treatment (sorafenib).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The only proven potentially curative therapy for HCC remains surgical, either hepatic resection or liver transplantation, and patients with single small HCC (&lt;5 cm) or up to three lesions &lt;3 cm are referred for assessment for these treatment modalities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Liver transplantation is considered in any patient with cirrhosis and a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lastRenderedPageBreak/>
                                      <w:t xml:space="preserve">small (5 cm or less single nodule or up to three lesions of 3 cm or less) HCC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Hepatic resection is considered as primary therapy in any patient with HCC and a non-cirrhotic liver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Resection can be carried out in highly selected patients with hepatic cirrhosis and well preserved hepatic function (Child-Pugh A) who are unsuitable for liver transplantation.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Percutaneous ethanol injection (PEI) is best suited to peripheral lesions, less than 3 cm in diameter. Radiofrequency ablation is  a good alternative ablative therapy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Chemoembolisation has been shown to affect survival in highly selected patients with good liver reserve. Chemoembolisation using lipiodol is effective therapy for pain or bleeding from HCC </w:t>
                                    </w:r>
                                  </w:p>
                                  <w:p w:rsidR="001D6BCB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Systemic chemotherapy with standard agents has a poor response rate and should only be offered in the context of trials of novel agents</w:t>
                                    </w:r>
                                  </w:p>
                                  <w:p w:rsidR="001D6BCB" w:rsidRPr="00947BD5" w:rsidRDefault="00F65BEF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hyperlink r:id="rId7" w:history="1">
                                      <w:r w:rsidR="001D6BCB" w:rsidRPr="00947BD5">
                                        <w:rPr>
                                          <w:rFonts w:cstheme="minorHAnsi"/>
                                          <w:b w:val="0"/>
                                          <w:color w:val="0070C0"/>
                                          <w:sz w:val="24"/>
                                          <w:szCs w:val="24"/>
                                        </w:rPr>
                                        <w:t>Sorafenib</w:t>
                                      </w:r>
                                    </w:hyperlink>
                                    <w:r w:rsidR="001D6BCB"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 is a multi-targeted orally active small molecule tyrosine kinase inhibitor (TKI) which has been shown to offer  a better survival benefit compared to supportive care alone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The MDT team has regular meetings where specialists present patient cases for discussion of all available treatment options as well as clarification of diagnosis and management pathways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An individualized management plan is devised for each patient based on the symptoms, stage of disease, based on inputs from the different specialists 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Multidisciplinary teams ensure an integrated care and improved quality of cancer care. It has a patient-centred approach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5"/>
                                      </w:numPr>
                                      <w:autoSpaceDE w:val="0"/>
                                      <w:autoSpaceDN w:val="0"/>
                                      <w:adjustRightInd w:val="0"/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The process of reviewing patient management issues through multidisciplinary meetings benefits both patients and team members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numPr>
                                        <w:ilvl w:val="0"/>
                                        <w:numId w:val="5"/>
                                      </w:numPr>
                                      <w:spacing w:before="0" w:beforeAutospacing="0" w:after="0" w:afterAutospacing="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</w:pPr>
                                    <w:r w:rsidRPr="00947BD5"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  <w:t>Delivery of multidisciplinary cancer care is usually by one stop multidisciplinary clinics where patients can see all relevant specialists in one visit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ind w:left="720"/>
                                      <w:jc w:val="both"/>
                                      <w:rPr>
                                        <w:rFonts w:asciiTheme="minorHAnsi" w:hAnsiTheme="minorHAnsi" w:cstheme="minorHAnsi"/>
                                        <w:b w:val="0"/>
                                        <w:color w:val="0070C0"/>
                                      </w:rPr>
                                    </w:pP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eastAsia="Times New Roman"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947BD5">
                                      <w:rPr>
                                        <w:rFonts w:eastAsia="Times New Roman" w:cstheme="minorHAnsi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Patient communication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eastAsia="Times New Roman"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Communication between multidisciplinary team and patients is most important.  In cancer management, communication skills are a key to achieving the important goals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>Benefits of the MDT approach in HCC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  <w:lang w:val="en-US"/>
                                      </w:rPr>
                                      <w:t>MDT approach in HCC ensures that Patients receive timely treatment and care from appropriately skilled professionals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resulting in  improved outcomes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including</w:t>
                                    </w:r>
                                    <w:r w:rsidRPr="00947BD5"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947BD5">
                                      <w:rPr>
                                        <w:rFonts w:cstheme="minorHAnsi"/>
                                        <w:b w:val="0"/>
                                        <w:color w:val="0070C0"/>
                                        <w:sz w:val="24"/>
                                        <w:szCs w:val="24"/>
                                      </w:rPr>
                                      <w:t>quality of life and survival</w:t>
                                    </w:r>
                                  </w:p>
                                  <w:p w:rsidR="00E615E5" w:rsidRPr="00947BD5" w:rsidRDefault="00E615E5" w:rsidP="001D6BCB">
                                    <w:pPr>
                                      <w:jc w:val="both"/>
                                      <w:rPr>
                                        <w:rFonts w:cstheme="minorHAnsi"/>
                                        <w:color w:val="0070C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615E5" w:rsidRPr="00947BD5" w:rsidRDefault="00E615E5" w:rsidP="00902086">
                              <w:pPr>
                                <w:rPr>
                                  <w:rFonts w:cstheme="minorHAnsi"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615E5" w:rsidRPr="00947BD5" w:rsidRDefault="00E615E5" w:rsidP="00902086">
                        <w:pPr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615E5" w:rsidRPr="00947BD5" w:rsidRDefault="00E615E5" w:rsidP="00902086">
                  <w:pPr>
                    <w:rPr>
                      <w:rFonts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:rsidR="00E615E5" w:rsidRPr="00947BD5" w:rsidRDefault="00E615E5" w:rsidP="00E615E5">
            <w:pPr>
              <w:rPr>
                <w:rFonts w:cstheme="minorHAnsi"/>
                <w:color w:val="0070C0"/>
                <w:sz w:val="24"/>
                <w:szCs w:val="24"/>
              </w:rPr>
            </w:pPr>
          </w:p>
        </w:tc>
      </w:tr>
    </w:tbl>
    <w:p w:rsidR="002C32ED" w:rsidRPr="00947BD5" w:rsidRDefault="002C32ED" w:rsidP="00E615E5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70C0"/>
        </w:rPr>
      </w:pPr>
    </w:p>
    <w:sectPr w:rsidR="002C32ED" w:rsidRPr="00947BD5" w:rsidSect="0017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4E96"/>
    <w:multiLevelType w:val="hybridMultilevel"/>
    <w:tmpl w:val="0ABAC262"/>
    <w:lvl w:ilvl="0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06468"/>
    <w:multiLevelType w:val="hybridMultilevel"/>
    <w:tmpl w:val="78446EF0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D17313B"/>
    <w:multiLevelType w:val="hybridMultilevel"/>
    <w:tmpl w:val="BE7E7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B4421"/>
    <w:multiLevelType w:val="hybridMultilevel"/>
    <w:tmpl w:val="265C0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AB270D"/>
    <w:multiLevelType w:val="hybridMultilevel"/>
    <w:tmpl w:val="9D66B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72A75"/>
    <w:multiLevelType w:val="hybridMultilevel"/>
    <w:tmpl w:val="FB1E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7062A"/>
    <w:multiLevelType w:val="hybridMultilevel"/>
    <w:tmpl w:val="59883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567A7"/>
    <w:multiLevelType w:val="hybridMultilevel"/>
    <w:tmpl w:val="7A1CF4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5670D"/>
    <w:multiLevelType w:val="hybridMultilevel"/>
    <w:tmpl w:val="F9E0A6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DA"/>
    <w:rsid w:val="001D6BCB"/>
    <w:rsid w:val="002C32ED"/>
    <w:rsid w:val="00402440"/>
    <w:rsid w:val="00475DDA"/>
    <w:rsid w:val="00580DE7"/>
    <w:rsid w:val="008712C0"/>
    <w:rsid w:val="00947BD5"/>
    <w:rsid w:val="0099602A"/>
    <w:rsid w:val="00E615E5"/>
    <w:rsid w:val="00F6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US"/>
    </w:rPr>
  </w:style>
  <w:style w:type="paragraph" w:styleId="Heading2">
    <w:name w:val="heading 2"/>
    <w:basedOn w:val="Normal"/>
    <w:link w:val="Heading2Char"/>
    <w:uiPriority w:val="9"/>
    <w:qFormat/>
    <w:rsid w:val="00475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5DDA"/>
    <w:rPr>
      <w:rFonts w:ascii="Times New Roman" w:eastAsia="Times New Roman" w:hAnsi="Times New Roman" w:cs="Times New Roman"/>
      <w:b/>
      <w:bCs/>
      <w:sz w:val="36"/>
      <w:szCs w:val="36"/>
      <w:lang w:val="en-GB" w:eastAsia="en-IN"/>
    </w:rPr>
  </w:style>
  <w:style w:type="paragraph" w:styleId="NormalWeb">
    <w:name w:val="Normal (Web)"/>
    <w:basedOn w:val="Normal"/>
    <w:uiPriority w:val="99"/>
    <w:unhideWhenUsed/>
    <w:rsid w:val="0047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5DDA"/>
    <w:pPr>
      <w:ind w:left="720"/>
      <w:contextualSpacing/>
    </w:pPr>
  </w:style>
  <w:style w:type="character" w:customStyle="1" w:styleId="highlight">
    <w:name w:val="highlight"/>
    <w:basedOn w:val="DefaultParagraphFont"/>
    <w:rsid w:val="00475DDA"/>
  </w:style>
  <w:style w:type="character" w:styleId="Emphasis">
    <w:name w:val="Emphasis"/>
    <w:basedOn w:val="DefaultParagraphFont"/>
    <w:uiPriority w:val="20"/>
    <w:qFormat/>
    <w:rsid w:val="00475DDA"/>
    <w:rPr>
      <w:i/>
      <w:iCs/>
    </w:rPr>
  </w:style>
  <w:style w:type="table" w:styleId="TableGrid">
    <w:name w:val="Table Grid"/>
    <w:basedOn w:val="TableNormal"/>
    <w:uiPriority w:val="59"/>
    <w:rsid w:val="0047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475D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475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DDA"/>
    <w:rPr>
      <w:rFonts w:eastAsiaTheme="minorEastAsia"/>
      <w:sz w:val="20"/>
      <w:szCs w:val="20"/>
      <w:lang w:val="en-GB" w:eastAsia="en-GB"/>
    </w:rPr>
  </w:style>
  <w:style w:type="character" w:customStyle="1" w:styleId="googqs-tidbit-0">
    <w:name w:val="goog_qs-tidbit-0"/>
    <w:basedOn w:val="DefaultParagraphFont"/>
    <w:rsid w:val="00475DDA"/>
  </w:style>
  <w:style w:type="table" w:styleId="LightShading-Accent5">
    <w:name w:val="Light Shading Accent 5"/>
    <w:basedOn w:val="TableNormal"/>
    <w:uiPriority w:val="60"/>
    <w:rsid w:val="00475D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ft">
    <w:name w:val="ft"/>
    <w:basedOn w:val="DefaultParagraphFont"/>
    <w:rsid w:val="00580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US"/>
    </w:rPr>
  </w:style>
  <w:style w:type="paragraph" w:styleId="Heading2">
    <w:name w:val="heading 2"/>
    <w:basedOn w:val="Normal"/>
    <w:link w:val="Heading2Char"/>
    <w:uiPriority w:val="9"/>
    <w:qFormat/>
    <w:rsid w:val="00475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5DDA"/>
    <w:rPr>
      <w:rFonts w:ascii="Times New Roman" w:eastAsia="Times New Roman" w:hAnsi="Times New Roman" w:cs="Times New Roman"/>
      <w:b/>
      <w:bCs/>
      <w:sz w:val="36"/>
      <w:szCs w:val="36"/>
      <w:lang w:val="en-GB" w:eastAsia="en-IN"/>
    </w:rPr>
  </w:style>
  <w:style w:type="paragraph" w:styleId="NormalWeb">
    <w:name w:val="Normal (Web)"/>
    <w:basedOn w:val="Normal"/>
    <w:uiPriority w:val="99"/>
    <w:unhideWhenUsed/>
    <w:rsid w:val="0047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5DDA"/>
    <w:pPr>
      <w:ind w:left="720"/>
      <w:contextualSpacing/>
    </w:pPr>
  </w:style>
  <w:style w:type="character" w:customStyle="1" w:styleId="highlight">
    <w:name w:val="highlight"/>
    <w:basedOn w:val="DefaultParagraphFont"/>
    <w:rsid w:val="00475DDA"/>
  </w:style>
  <w:style w:type="character" w:styleId="Emphasis">
    <w:name w:val="Emphasis"/>
    <w:basedOn w:val="DefaultParagraphFont"/>
    <w:uiPriority w:val="20"/>
    <w:qFormat/>
    <w:rsid w:val="00475DDA"/>
    <w:rPr>
      <w:i/>
      <w:iCs/>
    </w:rPr>
  </w:style>
  <w:style w:type="table" w:styleId="TableGrid">
    <w:name w:val="Table Grid"/>
    <w:basedOn w:val="TableNormal"/>
    <w:uiPriority w:val="59"/>
    <w:rsid w:val="0047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475D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475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5DDA"/>
    <w:rPr>
      <w:rFonts w:eastAsiaTheme="minorEastAsia"/>
      <w:sz w:val="20"/>
      <w:szCs w:val="20"/>
      <w:lang w:val="en-GB" w:eastAsia="en-GB"/>
    </w:rPr>
  </w:style>
  <w:style w:type="character" w:customStyle="1" w:styleId="googqs-tidbit-0">
    <w:name w:val="goog_qs-tidbit-0"/>
    <w:basedOn w:val="DefaultParagraphFont"/>
    <w:rsid w:val="00475DDA"/>
  </w:style>
  <w:style w:type="table" w:styleId="LightShading-Accent5">
    <w:name w:val="Light Shading Accent 5"/>
    <w:basedOn w:val="TableNormal"/>
    <w:uiPriority w:val="60"/>
    <w:rsid w:val="00475D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ft">
    <w:name w:val="ft"/>
    <w:basedOn w:val="DefaultParagraphFont"/>
    <w:rsid w:val="0058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ptodate.com/contents/sorafenib-drug-information?source=se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livec.com/library-and-tools/references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Healthcom Media</Company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Ramesh</dc:creator>
  <cp:lastModifiedBy>lindag</cp:lastModifiedBy>
  <cp:revision>2</cp:revision>
  <dcterms:created xsi:type="dcterms:W3CDTF">2012-03-01T15:53:00Z</dcterms:created>
  <dcterms:modified xsi:type="dcterms:W3CDTF">2012-03-01T15:53:00Z</dcterms:modified>
</cp:coreProperties>
</file>