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Casos de Uso Alto Nivel:</w:t>
      </w:r>
    </w:p>
    <w:p w:rsidR="00000000" w:rsidDel="00000000" w:rsidP="00000000" w:rsidRDefault="00000000" w:rsidRPr="00000000" w14:paraId="00000002">
      <w:pPr>
        <w:pStyle w:val="Heading3"/>
        <w:numPr>
          <w:ilvl w:val="2"/>
          <w:numId w:val="1"/>
        </w:numPr>
        <w:ind w:left="2160" w:hanging="720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Caso de Uso CU001 - Registrar Cliente (Alto nivel)</w:t>
      </w:r>
    </w:p>
    <w:tbl>
      <w:tblPr>
        <w:tblStyle w:val="Table1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No poseer una cuenta activa en ServiGo.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Seguridad, privacidad y validación de datos.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Permite al cliente crear una cuenta ingresando sus datos personales, correo, teléfono, RUT y contraseña para utilizar los servicios de la plataforma.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numPr>
          <w:ilvl w:val="2"/>
          <w:numId w:val="1"/>
        </w:numPr>
        <w:ind w:left="2160" w:hanging="720"/>
        <w:rPr/>
      </w:pPr>
      <w:r w:rsidDel="00000000" w:rsidR="00000000" w:rsidRPr="00000000">
        <w:rPr>
          <w:rtl w:val="0"/>
        </w:rPr>
        <w:t xml:space="preserve">Caso de Uso CU002 – Registrar Técnico (Alto nivel)</w:t>
      </w:r>
    </w:p>
    <w:tbl>
      <w:tblPr>
        <w:tblStyle w:val="Table2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Técnico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No poseer una cuenta de técnico activa y disponer de antecedentes básicos de identificación y especialidad.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Seguridad, privacidad y validación de identidad.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Permite al prestador registrarse como técnico, informar sus especialidades, datos de contacto, zona de trabajo y antecedentes requeridos para solicitar su habilitación en ServiGo.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mbria" w:cs="Cambria" w:eastAsia="Cambria" w:hAnsi="Cambria"/>
          <w:color w:val="36609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numPr>
          <w:ilvl w:val="2"/>
          <w:numId w:val="1"/>
        </w:numPr>
        <w:ind w:left="2160" w:hanging="720"/>
        <w:rPr/>
      </w:pPr>
      <w:r w:rsidDel="00000000" w:rsidR="00000000" w:rsidRPr="00000000">
        <w:rPr>
          <w:rtl w:val="0"/>
        </w:rPr>
        <w:t xml:space="preserve">Caso de Uso CU003 – Autenticar Usuario (Alto nivel)</w:t>
      </w:r>
    </w:p>
    <w:tbl>
      <w:tblPr>
        <w:tblStyle w:val="Table3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Cliente / Técnico / 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Poseer una cuenta registrada y habilitada en ServiGo.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Seguridad y disponibilidad.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Permite el ingreso a la plataforma mediante credenciales válidas y dirige al usuario a las funciones correspondientes a su rol.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numPr>
          <w:ilvl w:val="2"/>
          <w:numId w:val="1"/>
        </w:numPr>
        <w:ind w:left="2160" w:hanging="720"/>
        <w:rPr/>
      </w:pPr>
      <w:r w:rsidDel="00000000" w:rsidR="00000000" w:rsidRPr="00000000">
        <w:rPr>
          <w:rtl w:val="0"/>
        </w:rPr>
        <w:t xml:space="preserve">Caso de Uso CU004 – Recuperar Contraseña (Alto nivel)</w:t>
      </w:r>
    </w:p>
    <w:tbl>
      <w:tblPr>
        <w:tblStyle w:val="Table4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Cliente / Técnico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Poseer una cuenta registrada y acceso al correo o medio de recuperación asociado.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Seguridad y confidencialidad.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Permite solicitar el restablecimiento seguro de la contraseña mediante un mecanismo de verificación asociado a la cuenta.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numPr>
          <w:ilvl w:val="2"/>
          <w:numId w:val="1"/>
        </w:numPr>
        <w:ind w:left="2160" w:hanging="720"/>
        <w:rPr/>
      </w:pPr>
      <w:r w:rsidDel="00000000" w:rsidR="00000000" w:rsidRPr="00000000">
        <w:rPr>
          <w:rtl w:val="0"/>
        </w:rPr>
        <w:t xml:space="preserve">Caso de Uso CU005 – Gestionar Perfil y Ubicación (Alto nivel)</w:t>
      </w:r>
    </w:p>
    <w:tbl>
      <w:tblPr>
        <w:tblStyle w:val="Table5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Cliente / Técnico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Usuario autenticado y permisos de ubicación habilitados cuando corresponda.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Privacidad, geolocalización y usabilidad.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Permite consultar y actualizar datos del perfil y administrar la ubicación utilizada para solicitar servicios o definir la zona de disponibilidad del técnico.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numPr>
          <w:ilvl w:val="2"/>
          <w:numId w:val="1"/>
        </w:numPr>
        <w:ind w:left="2160" w:hanging="720"/>
        <w:rPr/>
      </w:pPr>
      <w:r w:rsidDel="00000000" w:rsidR="00000000" w:rsidRPr="00000000">
        <w:rPr>
          <w:rtl w:val="0"/>
        </w:rPr>
        <w:t xml:space="preserve">Caso de Uso CU006 – Publicar Solicitud de Servicio (Alto nivel)</w:t>
      </w:r>
    </w:p>
    <w:tbl>
      <w:tblPr>
        <w:tblStyle w:val="Table6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Cliente autenticado con ubicación de atención definida.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Disponibilidad, integridad de datos y geolocalización.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Permite crear una solicitud indicando categoría, especialidad, descripción, ubicación, urgencia y evidencia fotográfica para iniciar la búsqueda de técnicos.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numPr>
          <w:ilvl w:val="2"/>
          <w:numId w:val="1"/>
        </w:numPr>
        <w:ind w:left="2160" w:hanging="720"/>
        <w:rPr/>
      </w:pPr>
      <w:r w:rsidDel="00000000" w:rsidR="00000000" w:rsidRPr="00000000">
        <w:rPr>
          <w:rtl w:val="0"/>
        </w:rPr>
        <w:t xml:space="preserve">Caso de Uso CU007 – Buscar y Notificar Técnicos Cercanos (Alto nivel)</w:t>
      </w:r>
    </w:p>
    <w:tbl>
      <w:tblPr>
        <w:tblStyle w:val="Table7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Sistema / Técnico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Existir una solicitud activa con especialidad y ubicación válidas; técnico disponible.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Rendimiento, geolocalización y notificaciones.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ServiGo identifica técnicos compatibles y cercanos, prioriza según disponibilidad, distancia y reputación, y envía la alerta de servicio.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numPr>
          <w:ilvl w:val="2"/>
          <w:numId w:val="1"/>
        </w:numPr>
        <w:ind w:left="2160" w:hanging="720"/>
        <w:rPr/>
      </w:pPr>
      <w:r w:rsidDel="00000000" w:rsidR="00000000" w:rsidRPr="00000000">
        <w:rPr>
          <w:rtl w:val="0"/>
        </w:rPr>
        <w:t xml:space="preserve">Caso de Uso CU008 – Aceptar o Seleccionar Técnico (Alto nivel)</w:t>
      </w:r>
      <w:r w:rsidDel="00000000" w:rsidR="00000000" w:rsidRPr="00000000">
        <w:rPr>
          <w:rtl w:val="0"/>
        </w:rPr>
      </w:r>
    </w:p>
    <w:tbl>
      <w:tblPr>
        <w:tblStyle w:val="Table8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Cliente / Técnico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Solicitud activa y técnico notificado o disponible para selección.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Concurrencia, integridad y usabilidad.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Permite asignar el servicio: técnicos con reputación habilitada pueden aceptar directamente y, cuando corresponda, el cliente selecciona al técnico candidato.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numPr>
          <w:ilvl w:val="2"/>
          <w:numId w:val="1"/>
        </w:numPr>
        <w:ind w:left="2160" w:hanging="720"/>
        <w:rPr/>
      </w:pPr>
      <w:r w:rsidDel="00000000" w:rsidR="00000000" w:rsidRPr="00000000">
        <w:rPr>
          <w:rtl w:val="0"/>
        </w:rPr>
        <w:t xml:space="preserve">Caso de Uso CU009 – Realizar Seguimiento del Servicio (Alto nivel)</w:t>
      </w:r>
    </w:p>
    <w:tbl>
      <w:tblPr>
        <w:tblStyle w:val="Table9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Cliente / Técnico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Servicio asignado y permisos de ubicación habilitados.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Geolocalización, disponibilidad y actualización en tiempo real.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Permite visualizar la ubicación del técnico, estimar su llegada y consultar el estado del servicio desde la asignación hasta la finalización.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numPr>
          <w:ilvl w:val="2"/>
          <w:numId w:val="1"/>
        </w:numPr>
        <w:ind w:left="2160" w:hanging="720"/>
        <w:rPr/>
      </w:pPr>
      <w:r w:rsidDel="00000000" w:rsidR="00000000" w:rsidRPr="00000000">
        <w:rPr>
          <w:rtl w:val="0"/>
        </w:rPr>
        <w:t xml:space="preserve">Caso de Uso CU010 – Gestionar Chat del Servicio (Alto nivel)</w:t>
      </w:r>
    </w:p>
    <w:tbl>
      <w:tblPr>
        <w:tblStyle w:val="Table10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Cliente / Técnico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Servicio activo entre un cliente y un técnico asignado.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Confidencialidad, disponibilidad y mensajería en tiempo real.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Permite la comunicación directa entre cliente y técnico mediante mensajes asociados exclusivamente al servicio en curso.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numPr>
          <w:ilvl w:val="2"/>
          <w:numId w:val="1"/>
        </w:numPr>
        <w:ind w:left="2160" w:hanging="720"/>
        <w:rPr/>
      </w:pPr>
      <w:r w:rsidDel="00000000" w:rsidR="00000000" w:rsidRPr="00000000">
        <w:rPr>
          <w:rtl w:val="0"/>
        </w:rPr>
        <w:t xml:space="preserve">Caso de Uso CU011 – Gestionar Pago del Servicio (Alto nivel)</w:t>
      </w:r>
    </w:p>
    <w:tbl>
      <w:tblPr>
        <w:tblStyle w:val="Table11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Cliente / Técnico / Pasarela de Pago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Servicio con monto definido y listo para cobro.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Seguridad transaccional, trazabilidad y disponibilidad.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Permite procesar el pago mediante la pasarela integrada, registrar el resultado de la transacción y asociarlo al servicio realizado.</w:t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numPr>
          <w:ilvl w:val="2"/>
          <w:numId w:val="1"/>
        </w:numPr>
        <w:ind w:left="2160" w:hanging="720"/>
        <w:rPr/>
      </w:pPr>
      <w:r w:rsidDel="00000000" w:rsidR="00000000" w:rsidRPr="00000000">
        <w:rPr>
          <w:rtl w:val="0"/>
        </w:rPr>
        <w:t xml:space="preserve">Caso de Uso CU012 – Evaluar Servicio y Reputación (Alto nivel)</w:t>
      </w:r>
    </w:p>
    <w:tbl>
      <w:tblPr>
        <w:tblStyle w:val="Table12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2214"/>
        <w:gridCol w:w="6614"/>
        <w:tblGridChange w:id="0">
          <w:tblGrid>
            <w:gridCol w:w="2214"/>
            <w:gridCol w:w="6614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Cliente / Técnico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Servicio finalizado y pago registrado o servicio cerrado.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Req. No Funcional</w:t>
            </w:r>
          </w:p>
        </w:tc>
        <w:tc>
          <w:tcPr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Integridad, trazabilidad y usabilidad.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Permite que cliente y técnico se evalúen mutuamente mediante calificación y comentarios, actualizando la reputación utilizada por ServiGo.</w:t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ambria" w:cs="Cambria" w:eastAsia="Cambria" w:hAnsi="Cambria"/>
          <w:color w:val="36609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numPr>
          <w:ilvl w:val="2"/>
          <w:numId w:val="1"/>
        </w:numPr>
        <w:spacing w:after="80" w:before="280" w:line="276" w:lineRule="auto"/>
        <w:ind w:left="0" w:hanging="720"/>
        <w:rPr>
          <w:rFonts w:ascii="Calibri" w:cs="Calibri" w:eastAsia="Calibri" w:hAnsi="Calibri"/>
        </w:rPr>
      </w:pPr>
      <w:bookmarkStart w:colFirst="0" w:colLast="0" w:name="_heading=h.tprfwh8ej531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Caso de Uso CU001 - Autenticar Usuario</w:t>
      </w:r>
    </w:p>
    <w:tbl>
      <w:tblPr>
        <w:tblStyle w:val="Table13"/>
        <w:tblW w:w="88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2"/>
        <w:gridCol w:w="1745"/>
        <w:gridCol w:w="3353"/>
        <w:gridCol w:w="831"/>
        <w:gridCol w:w="2077"/>
        <w:tblGridChange w:id="0">
          <w:tblGrid>
            <w:gridCol w:w="832"/>
            <w:gridCol w:w="1745"/>
            <w:gridCol w:w="3353"/>
            <w:gridCol w:w="831"/>
            <w:gridCol w:w="2077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a6a6a6" w:space="0" w:sz="5" w:val="single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tcBorders>
              <w:top w:color="a6a6a6" w:space="0" w:sz="5" w:val="single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Cliente / Técnico / Administrador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gridSpan w:val="2"/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Permitir el acceso seguro a ServiGo según el rol del usuario.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estar registrado y su cuenta debe encontrarse habilitada.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gridSpan w:val="2"/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 inicia una sesión y se muestran las funcionalidades autorizadas para el rol.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Ingresar correo/RUT y contraseña.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Validar credenciales y estado de la cuenta.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Confirmar el ingreso.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Mostrar la pantalla principal correspondiente al rol.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rHeight w:val="752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Ingresar credenciales inválidas.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2.A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Informar el error y permitir un nuevo intento.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Solicitar recuperación de contraseña.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3.A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Iniciar el flujo seguro de restablecimiento.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Intentar acceder con cuenta bloqueada.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4.A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Denegar el acceso e informar el estado de la cuenta.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a6a6a6" w:space="0" w:sz="5" w:val="single"/>
              <w:bottom w:color="a6a6a6" w:space="0" w:sz="5" w:val="single"/>
              <w:right w:color="a6a6a6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Ingresar datos incompletos.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5.A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6a6a6" w:space="0" w:sz="5" w:val="single"/>
              <w:right w:color="a6a6a6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Solicitar completar los campos obligatorios.</w:t>
            </w:r>
          </w:p>
        </w:tc>
      </w:tr>
    </w:tbl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numPr>
          <w:ilvl w:val="2"/>
          <w:numId w:val="1"/>
        </w:numPr>
        <w:ind w:left="2160" w:hanging="720"/>
        <w:rPr/>
      </w:pPr>
      <w:r w:rsidDel="00000000" w:rsidR="00000000" w:rsidRPr="00000000">
        <w:rPr>
          <w:rtl w:val="0"/>
        </w:rPr>
        <w:t xml:space="preserve">Caso de Uso CU002 – Registrar Cliente</w:t>
      </w:r>
    </w:p>
    <w:tbl>
      <w:tblPr>
        <w:tblStyle w:val="Table14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Crear una cuenta de cliente para solicitar y administrar servicios.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El cliente no debe tener una cuenta activa con el mismo correo o RUT.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La cuenta queda creada y disponible para autenticación, previa validación requerida.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Ingresar datos personales, correo, teléfono, RUT y contraseña.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Validar formato, obligatoriedad y duplicidad de los datos.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Aceptar términos y confirmar registro.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Crear la cuenta y enviar confirmación o verificación.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Ingresar un correo o RUT ya registrado.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2.A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Informar que la cuenta ya existe y ofrecer inicio de sesión o recuperación.</w:t>
            </w:r>
          </w:p>
        </w:tc>
      </w:tr>
    </w:tbl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numPr>
          <w:ilvl w:val="2"/>
          <w:numId w:val="1"/>
        </w:numPr>
        <w:ind w:left="2160" w:hanging="720"/>
        <w:rPr/>
      </w:pPr>
      <w:r w:rsidDel="00000000" w:rsidR="00000000" w:rsidRPr="00000000">
        <w:rPr>
          <w:rtl w:val="0"/>
        </w:rPr>
        <w:t xml:space="preserve">Caso de Uso CU003 – Registrar Técnico</w:t>
      </w:r>
    </w:p>
    <w:tbl>
      <w:tblPr>
        <w:tblStyle w:val="Table15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Técnico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Registrar un prestador de servicios con sus especialidades y datos de operación.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El técnico no debe poseer una cuenta activa y debe disponer de datos de identificación.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El perfil técnico queda creado y sujeto a validación/habilitación según corresponda.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Ingresar datos personales, contacto, especialidades y zona de trabajo.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Validar los datos y solicitar antecedentes obligatorios.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Enviar antecedentes y confirmar registro.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Crear el perfil técnico y dejarlo en estado de revisión o habilitado según reglas.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Enviar antecedentes incompletos o inválidos.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2.A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Mantener el perfil pendiente e informar los documentos o datos faltantes.</w:t>
            </w:r>
          </w:p>
        </w:tc>
      </w:tr>
    </w:tbl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3"/>
        <w:numPr>
          <w:ilvl w:val="2"/>
          <w:numId w:val="1"/>
        </w:numPr>
        <w:ind w:left="2160" w:hanging="720"/>
        <w:rPr/>
      </w:pPr>
      <w:r w:rsidDel="00000000" w:rsidR="00000000" w:rsidRPr="00000000">
        <w:rPr>
          <w:rtl w:val="0"/>
        </w:rPr>
        <w:t xml:space="preserve">Caso de Uso CU004 – Recuperar Contraseña</w:t>
      </w:r>
    </w:p>
    <w:tbl>
      <w:tblPr>
        <w:tblStyle w:val="Table16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Cliente / Técnico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Restablecer de forma segura la contraseña de una cuenta registrada.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La cuenta debe existir y contar con un medio de recuperación válido.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La contraseña queda actualizada y el usuario puede volver a autenticarse.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5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Seleccionar “Olvidé mi contraseña” e ingresar el correo asociado.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Validar la existencia de la cuenta y enviar un enlace/código de recuperación.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Ingresar y confirmar una nueva contraseña.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Validar requisitos de seguridad y actualizar la credencial.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Ingresar un correo no registrado.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2.A</w:t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Informar que no se pudo identificar una cuenta asociada sin exponer datos sensibles.</w:t>
            </w:r>
          </w:p>
        </w:tc>
      </w:tr>
    </w:tbl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numPr>
          <w:ilvl w:val="2"/>
          <w:numId w:val="1"/>
        </w:numPr>
        <w:ind w:left="2160" w:hanging="720"/>
        <w:rPr/>
      </w:pPr>
      <w:r w:rsidDel="00000000" w:rsidR="00000000" w:rsidRPr="00000000">
        <w:rPr>
          <w:rtl w:val="0"/>
        </w:rPr>
        <w:t xml:space="preserve">Caso de Uso CU005 – Gestionar Perfil y Ubicación</w:t>
      </w:r>
    </w:p>
    <w:tbl>
      <w:tblPr>
        <w:tblStyle w:val="Table17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Cliente / Técnico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Mantener actualizados los datos del usuario y su ubicación operativa.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Usuario autenticado; para geolocalización, permiso de ubicación disponible.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Los datos modificados quedan almacenados y la ubicación queda disponible para los procesos autorizados.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Editar datos de perfil o activar la ubicación.</w:t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Validar datos y obtener coordenadas con autorización del dispositivo.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Guardar cambios.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Actualizar el perfil y confirmar la operación.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Rechazar el permiso de ubicación.</w:t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2.A</w:t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Permitir ingreso manual de dirección y advertir las funciones limitadas de geolocalización.</w:t>
            </w:r>
          </w:p>
        </w:tc>
      </w:tr>
    </w:tbl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numPr>
          <w:ilvl w:val="2"/>
          <w:numId w:val="1"/>
        </w:numPr>
        <w:ind w:left="2160" w:hanging="720"/>
        <w:rPr/>
      </w:pPr>
      <w:r w:rsidDel="00000000" w:rsidR="00000000" w:rsidRPr="00000000">
        <w:rPr>
          <w:rtl w:val="0"/>
        </w:rPr>
        <w:t xml:space="preserve">Caso de Uso CU006 – Publicar Solicitud de Servicio</w:t>
      </w:r>
    </w:p>
    <w:tbl>
      <w:tblPr>
        <w:tblStyle w:val="Table18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B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Crear una solicitud para encontrar un técnico adecuado.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C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Cliente autenticado con una dirección o ubicación de atención válida.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C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La solicitud queda activa y disponible para el proceso de búsqueda y notificación de técnicos.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C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C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D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D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D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Seleccionar especialidad, describir el problema, indicar urgencia, ubicación y adjuntar fotos opcionales.</w:t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Validar los datos y registrar la solicitud.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Confirmar la publicación.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Activar la búsqueda de técnicos compatibles y cercanos.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1D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E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E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1E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Omitir información obligatoria o ubicación válida.</w:t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2.A</w:t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Solicitar completar o corregir los datos antes de publicar.</w:t>
            </w:r>
          </w:p>
        </w:tc>
      </w:tr>
    </w:tbl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numPr>
          <w:ilvl w:val="2"/>
          <w:numId w:val="1"/>
        </w:numPr>
        <w:ind w:left="2160" w:hanging="720"/>
        <w:rPr/>
      </w:pPr>
      <w:r w:rsidDel="00000000" w:rsidR="00000000" w:rsidRPr="00000000">
        <w:rPr>
          <w:rtl w:val="0"/>
        </w:rPr>
        <w:t xml:space="preserve">Caso de Uso CU007 – Buscar y Notificar Técnicos Cercanos</w:t>
      </w:r>
    </w:p>
    <w:tbl>
      <w:tblPr>
        <w:tblStyle w:val="Table19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1F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Sistema / Técnico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F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Identificar técnicos compatibles y alertarlos sobre una nueva oportunidad de servicio.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F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Debe existir una solicitud activa y técnicos disponibles con especialidad compatible.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1F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Los técnicos seleccionados reciben la notificación y la solicitud queda en espera de aceptación/selección.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Sistema analiza especialidad, ubicación, disponibilidad y reputación.</w:t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Generar una lista priorizada de técnicos elegibles.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Técnico recibe la alerta de servicio.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Mostrar datos esenciales de la solicitud y opciones permitidas según su reputación.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1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1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1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2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2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No existir técnicos disponibles en el radio inicial.</w:t>
            </w:r>
          </w:p>
        </w:tc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2.A</w:t>
            </w:r>
          </w:p>
        </w:tc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Ampliar gradualmente la búsqueda o informar al cliente que no hay disponibilidad inmediata.</w:t>
            </w:r>
          </w:p>
        </w:tc>
      </w:tr>
    </w:tbl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numPr>
          <w:ilvl w:val="2"/>
          <w:numId w:val="1"/>
        </w:numPr>
        <w:ind w:left="2160" w:hanging="720"/>
        <w:rPr/>
      </w:pPr>
      <w:r w:rsidDel="00000000" w:rsidR="00000000" w:rsidRPr="00000000">
        <w:rPr>
          <w:rtl w:val="0"/>
        </w:rPr>
        <w:t xml:space="preserve">Caso de Uso CU008 – Aceptar o Seleccionar Técnico</w:t>
      </w:r>
    </w:p>
    <w:tbl>
      <w:tblPr>
        <w:tblStyle w:val="Table20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2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Cliente / Técnico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2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Asignar un técnico a una solicitud bajo las reglas de reputación de ServiGo.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3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Existe una solicitud activa y al menos un técnico candidato.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3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El servicio queda asignado a un técnico y se bloquea la asignación para otros candidatos.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3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4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4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4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4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Técnico habilitado acepta la solicitud o cliente selecciona un candidato.</w:t>
            </w:r>
          </w:p>
        </w:tc>
        <w:tc>
          <w:tcPr/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Validar que la solicitud siga disponible y registrar la asignación.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Confirmar la asignación.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Notificar a ambas partes y habilitar seguimiento y chat.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5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5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5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5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5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Otro técnico toma el servicio antes de confirmar.</w:t>
            </w:r>
          </w:p>
        </w:tc>
        <w:tc>
          <w:tcPr/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2.A</w:t>
            </w:r>
          </w:p>
        </w:tc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Informar que la solicitud ya fue asignada y cerrar la opción de aceptación.</w:t>
            </w:r>
          </w:p>
        </w:tc>
      </w:tr>
    </w:tbl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numPr>
          <w:ilvl w:val="2"/>
          <w:numId w:val="1"/>
        </w:numPr>
        <w:ind w:left="2160" w:hanging="720"/>
        <w:rPr/>
      </w:pPr>
      <w:r w:rsidDel="00000000" w:rsidR="00000000" w:rsidRPr="00000000">
        <w:rPr>
          <w:rtl w:val="0"/>
        </w:rPr>
        <w:t xml:space="preserve">Caso de Uso CU009 – Realizar Seguimiento del Servicio</w:t>
      </w:r>
    </w:p>
    <w:tbl>
      <w:tblPr>
        <w:tblStyle w:val="Table21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6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Cliente / Técnico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6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Permitir seguimiento de ubicación y estados del servicio en tiempo real.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6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Servicio asignado y permisos de ubicación habilitados para el técnico durante el trayecto.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7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Se registra la evolución del servicio hasta su llegada, inicio o finalización.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7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7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7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8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8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Técnico inicia traslado y actualiza el estado “En camino”.</w:t>
            </w:r>
          </w:p>
        </w:tc>
        <w:tc>
          <w:tcPr/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Compartir ubicación autorizada y estimar tiempo de llegada.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Técnico actualiza llegada/inicio del trabajo.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Reflejar el nuevo estado al cliente en tiempo real.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8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9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9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9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9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Perder conectividad o permiso de ubicación.</w:t>
            </w:r>
          </w:p>
        </w:tc>
        <w:tc>
          <w:tcPr/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2.A</w:t>
            </w:r>
          </w:p>
        </w:tc>
        <w:tc>
          <w:tcPr/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Mantener el último estado conocido e informar que el seguimiento en tiempo real está temporalmente no disponible.</w:t>
            </w:r>
          </w:p>
        </w:tc>
      </w:tr>
    </w:tbl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3"/>
        <w:numPr>
          <w:ilvl w:val="2"/>
          <w:numId w:val="1"/>
        </w:numPr>
        <w:ind w:left="2160" w:hanging="720"/>
        <w:rPr/>
      </w:pPr>
      <w:r w:rsidDel="00000000" w:rsidR="00000000" w:rsidRPr="00000000">
        <w:rPr>
          <w:rtl w:val="0"/>
        </w:rPr>
        <w:t xml:space="preserve">Caso de Uso CU010 – Gestionar Chat del Servicio</w:t>
      </w:r>
    </w:p>
    <w:tbl>
      <w:tblPr>
        <w:tblStyle w:val="Table22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9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Cliente / Técnico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A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Facilitar la comunicación segura entre las partes durante un servicio.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A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Debe existir un servicio activo con cliente y técnico asignados.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A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Los mensajes quedan asociados al servicio y disponibles durante el periodo definido.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B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B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B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B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B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Escribir y enviar un mensaje.</w:t>
            </w:r>
          </w:p>
        </w:tc>
        <w:tc>
          <w:tcPr/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Validar la sesión, almacenar el mensaje y entregarlo al destinatario.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Leer o responder el mensaje recibido.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Actualizar la conversación y el estado de lectura cuando corresponda.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C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C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C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C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C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Intentar enviar un mensaje sin conexión.</w:t>
            </w:r>
          </w:p>
        </w:tc>
        <w:tc>
          <w:tcPr/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2.A</w:t>
            </w:r>
          </w:p>
        </w:tc>
        <w:tc>
          <w:tcPr/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Informar el problema y reintentar el envío cuando exista conectividad.</w:t>
            </w:r>
          </w:p>
        </w:tc>
      </w:tr>
    </w:tbl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3"/>
        <w:numPr>
          <w:ilvl w:val="2"/>
          <w:numId w:val="1"/>
        </w:numPr>
        <w:ind w:left="2160" w:hanging="720"/>
        <w:rPr/>
      </w:pPr>
      <w:r w:rsidDel="00000000" w:rsidR="00000000" w:rsidRPr="00000000">
        <w:rPr>
          <w:rtl w:val="0"/>
        </w:rPr>
        <w:t xml:space="preserve">Caso de Uso CU011 – Gestionar Presupuesto del Servicio</w:t>
      </w:r>
    </w:p>
    <w:tbl>
      <w:tblPr>
        <w:tblStyle w:val="Table23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D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Cliente / Técnico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D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Permitir acordar el valor del trabajo cuando el servicio requiera cotización previa.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E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Servicio asignado y diagnóstico preliminar disponible.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2E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El presupuesto queda aceptado, rechazado o pendiente, asociado al servicio.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2E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F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2F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F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2F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Técnico ingresa detalle, valor y condiciones del presupuesto.</w:t>
            </w:r>
          </w:p>
        </w:tc>
        <w:tc>
          <w:tcPr/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Registrar y notificar la propuesta al cliente.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F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Cliente acepta el presupuesto.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Bloquear el monto acordado como referencia de cobro y habilitar continuidad del trabajo.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0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0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0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Cliente rechaza el presupuesto.</w:t>
            </w:r>
          </w:p>
        </w:tc>
        <w:tc>
          <w:tcPr/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2.A</w:t>
            </w:r>
          </w:p>
        </w:tc>
        <w:tc>
          <w:tcPr/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Registrar el rechazo y permitir cerrar, cancelar o solicitar una nueva propuesta según las reglas.</w:t>
            </w:r>
          </w:p>
        </w:tc>
      </w:tr>
    </w:tbl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3"/>
        <w:numPr>
          <w:ilvl w:val="2"/>
          <w:numId w:val="1"/>
        </w:numPr>
        <w:ind w:left="2160" w:hanging="720"/>
        <w:rPr/>
      </w:pPr>
      <w:r w:rsidDel="00000000" w:rsidR="00000000" w:rsidRPr="00000000">
        <w:rPr>
          <w:rtl w:val="0"/>
        </w:rPr>
        <w:t xml:space="preserve">Caso de Uso CU012 – Gestionar Pago del Servicio</w:t>
      </w:r>
    </w:p>
    <w:tbl>
      <w:tblPr>
        <w:tblStyle w:val="Table24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1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Cliente / Pasarela de Pago / Técnico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1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Procesar el cobro del servicio y registrar su resultado.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Servicio finalizado o listo para cobro, con monto definido.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2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La transacción queda registrada como aprobada, rechazada o pendiente y asociada al servicio.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2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2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2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2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2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Cliente selecciona medio de pago y confirma el cobro.</w:t>
            </w:r>
          </w:p>
        </w:tc>
        <w:tc>
          <w:tcPr/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Enviar la operación a la pasarela de pago de forma segura.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3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Pasarela aprueba la transacción.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Registrar pago aprobado, emitir confirmación y actualizar el estado del servicio.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3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3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4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4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4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La pasarela rechaza o no confirma el pago.</w:t>
            </w:r>
          </w:p>
        </w:tc>
        <w:tc>
          <w:tcPr/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2.A</w:t>
            </w:r>
          </w:p>
        </w:tc>
        <w:tc>
          <w:tcPr/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Informar el resultado y permitir reintentar o elegir otro medio disponible.</w:t>
            </w:r>
          </w:p>
        </w:tc>
      </w:tr>
    </w:tbl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3"/>
        <w:numPr>
          <w:ilvl w:val="2"/>
          <w:numId w:val="1"/>
        </w:numPr>
        <w:ind w:left="2160" w:hanging="720"/>
        <w:rPr/>
      </w:pPr>
      <w:r w:rsidDel="00000000" w:rsidR="00000000" w:rsidRPr="00000000">
        <w:rPr>
          <w:rtl w:val="0"/>
        </w:rPr>
        <w:t xml:space="preserve">Caso de Uso CU013 – Finalizar Servicio</w:t>
      </w:r>
    </w:p>
    <w:tbl>
      <w:tblPr>
        <w:tblStyle w:val="Table25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4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Técnico / Cliente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5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Cerrar formalmente el trabajo ejecutado y dejarlo disponible para pago/evaluación.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5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Servicio iniciado y trabajo realizado o diagnosticado según lo acordado.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5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El servicio queda finalizado con fecha, estado y antecedentes básicos de cierre.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6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6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6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6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6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Técnico marca el trabajo como finalizado y agrega observaciones/evidencia si corresponde.</w:t>
            </w:r>
          </w:p>
        </w:tc>
        <w:tc>
          <w:tcPr/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Registrar cierre y notificar al cliente.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3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Cliente revisa el cierre.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Habilitar pago pendiente y evaluación del servicio.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7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7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7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7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7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Cliente reporta una diferencia antes del cierre definitivo.</w:t>
            </w:r>
          </w:p>
        </w:tc>
        <w:tc>
          <w:tcPr/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  <w:t xml:space="preserve">2.A</w:t>
            </w:r>
          </w:p>
        </w:tc>
        <w:tc>
          <w:tcPr/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  <w:t xml:space="preserve">Mantener el caso en revisión y habilitar el mecanismo de disputa o aclaración.</w:t>
            </w:r>
          </w:p>
        </w:tc>
      </w:tr>
    </w:tbl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3"/>
        <w:numPr>
          <w:ilvl w:val="2"/>
          <w:numId w:val="1"/>
        </w:numPr>
        <w:ind w:left="2160" w:hanging="720"/>
        <w:rPr/>
      </w:pPr>
      <w:r w:rsidDel="00000000" w:rsidR="00000000" w:rsidRPr="00000000">
        <w:rPr>
          <w:rtl w:val="0"/>
        </w:rPr>
        <w:t xml:space="preserve">Caso de Uso CU014 – Evaluar Técnico y Cliente</w:t>
      </w:r>
    </w:p>
    <w:tbl>
      <w:tblPr>
        <w:tblStyle w:val="Table26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8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  <w:t xml:space="preserve">Cliente / Técnico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8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  <w:t xml:space="preserve">Generar reputación bidireccional posterior a cada servicio.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9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  <w:t xml:space="preserve">El servicio debe estar finalizado y habilitado para evaluación.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9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  <w:t xml:space="preserve">Las calificaciones y comentarios quedan registrados y se actualiza la reputación correspondiente.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9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9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A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A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A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Cliente califica al técnico y agrega comentario opcional.</w:t>
            </w:r>
          </w:p>
        </w:tc>
        <w:tc>
          <w:tcPr/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  <w:t xml:space="preserve">Registrar la evaluación y recalcular los indicadores de reputación del técnico.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3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Técnico califica al cliente.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Registrar la evaluación y actualizar la reputación del cliente.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A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B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B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B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B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  <w:t xml:space="preserve">Intentar evaluar dos veces el mismo servicio.</w:t>
            </w:r>
          </w:p>
        </w:tc>
        <w:tc>
          <w:tcPr/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2.A</w:t>
            </w:r>
          </w:p>
        </w:tc>
        <w:tc>
          <w:tcPr/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  <w:t xml:space="preserve">Impedir duplicidad o aplicar la política de edición vigente.</w:t>
            </w:r>
          </w:p>
        </w:tc>
      </w:tr>
    </w:tbl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Heading3"/>
        <w:numPr>
          <w:ilvl w:val="2"/>
          <w:numId w:val="1"/>
        </w:numPr>
        <w:ind w:left="2160" w:hanging="720"/>
        <w:rPr/>
      </w:pPr>
      <w:r w:rsidDel="00000000" w:rsidR="00000000" w:rsidRPr="00000000">
        <w:rPr>
          <w:rtl w:val="0"/>
        </w:rPr>
        <w:t xml:space="preserve">Caso de Uso CU015 – Consultar Historial de Servicios</w:t>
      </w:r>
    </w:p>
    <w:tbl>
      <w:tblPr>
        <w:tblStyle w:val="Table27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C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  <w:t xml:space="preserve">Cliente / Técnico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C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  <w:t xml:space="preserve">Consultar servicios anteriores y su información asociada.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C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  <w:t xml:space="preserve">Usuario autenticado con al menos un servicio registrado o historial vacío disponible.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3C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  <w:t xml:space="preserve">Se presenta el historial filtrado según el usuario y su rol.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D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D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D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D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D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  <w:t xml:space="preserve">Ingresar a la sección de historial.</w:t>
            </w:r>
          </w:p>
        </w:tc>
        <w:tc>
          <w:tcPr/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  <w:t xml:space="preserve">Listar servicios anteriores con fecha, estado, contraparte y categoría.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3E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  <w:t xml:space="preserve">Seleccionar un servicio.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Mostrar detalle permitido, pago, evaluación y antecedentes asociados.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3E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E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E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F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3F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tl w:val="0"/>
              </w:rPr>
              <w:t xml:space="preserve">No existir servicios anteriores.</w:t>
            </w:r>
          </w:p>
        </w:tc>
        <w:tc>
          <w:tcPr/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  <w:t xml:space="preserve">2.A</w:t>
            </w:r>
          </w:p>
        </w:tc>
        <w:tc>
          <w:tcPr/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tl w:val="0"/>
              </w:rPr>
              <w:t xml:space="preserve">Mostrar un estado vacío e indicar que todavía no existen servicios registrados.</w:t>
            </w:r>
          </w:p>
        </w:tc>
      </w:tr>
    </w:tbl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pStyle w:val="Heading3"/>
        <w:numPr>
          <w:ilvl w:val="2"/>
          <w:numId w:val="1"/>
        </w:numPr>
        <w:ind w:left="2160" w:hanging="720"/>
        <w:rPr/>
      </w:pPr>
      <w:r w:rsidDel="00000000" w:rsidR="00000000" w:rsidRPr="00000000">
        <w:rPr>
          <w:rtl w:val="0"/>
        </w:rPr>
        <w:t xml:space="preserve">Caso de Uso CU016 – Gestionar Cancelación de Servicio</w:t>
      </w:r>
    </w:p>
    <w:tbl>
      <w:tblPr>
        <w:tblStyle w:val="Table28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3F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tl w:val="0"/>
              </w:rPr>
              <w:t xml:space="preserve">Cliente / Técnico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0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tl w:val="0"/>
              </w:rPr>
              <w:t xml:space="preserve">Permitir cancelar una solicitud o servicio conforme a las reglas de la plataforma.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tl w:val="0"/>
              </w:rPr>
              <w:t xml:space="preserve">La solicitud o servicio debe encontrarse en un estado que permita cancelación.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tl w:val="0"/>
              </w:rPr>
              <w:t xml:space="preserve">El servicio queda cancelado, se registra el motivo y se notifica a la contraparte.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41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1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1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1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1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  <w:t xml:space="preserve">Seleccionar cancelar e indicar motivo.</w:t>
            </w:r>
          </w:p>
        </w:tc>
        <w:tc>
          <w:tcPr/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tl w:val="0"/>
              </w:rPr>
              <w:t xml:space="preserve">Validar reglas, posibles cargos y estado actual.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4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tl w:val="0"/>
              </w:rPr>
              <w:t xml:space="preserve">Confirmar cancelación.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  <w:t xml:space="preserve">Registrar cancelación y notificar a la contraparte.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42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2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2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2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2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  <w:t xml:space="preserve">Intentar cancelar en un estado restringido.</w:t>
            </w:r>
          </w:p>
        </w:tc>
        <w:tc>
          <w:tcPr/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  <w:t xml:space="preserve">2.A</w:t>
            </w:r>
          </w:p>
        </w:tc>
        <w:tc>
          <w:tcPr/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  <w:t xml:space="preserve">Informar que la cancelación requiere revisión o que no está disponible en ese momento.</w:t>
            </w:r>
          </w:p>
        </w:tc>
      </w:tr>
    </w:tbl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pStyle w:val="Heading3"/>
        <w:numPr>
          <w:ilvl w:val="2"/>
          <w:numId w:val="1"/>
        </w:numPr>
        <w:ind w:left="2160" w:hanging="720"/>
        <w:rPr/>
      </w:pPr>
      <w:r w:rsidDel="00000000" w:rsidR="00000000" w:rsidRPr="00000000">
        <w:rPr>
          <w:rtl w:val="0"/>
        </w:rPr>
        <w:t xml:space="preserve">Caso de Uso CU017 – Gestionar Reclamo o Disputa</w:t>
      </w:r>
    </w:p>
    <w:tbl>
      <w:tblPr>
        <w:tblStyle w:val="Table29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3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tl w:val="0"/>
              </w:rPr>
              <w:t xml:space="preserve">Cliente / Técnico / Administrador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3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tl w:val="0"/>
              </w:rPr>
              <w:t xml:space="preserve">Registrar y gestionar desacuerdos o incidentes asociados a un servicio.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4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tl w:val="0"/>
              </w:rPr>
              <w:t xml:space="preserve">Debe existir un servicio identificable y un usuario autenticado relacionado con él.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4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tl w:val="0"/>
              </w:rPr>
              <w:t xml:space="preserve">El reclamo queda registrado con estado de seguimiento y antecedentes disponibles para revisión.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44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4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5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5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5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tl w:val="0"/>
              </w:rPr>
              <w:t xml:space="preserve">Usuario crea un reclamo, selecciona motivo y adjunta antecedentes.</w:t>
            </w:r>
          </w:p>
        </w:tc>
        <w:tc>
          <w:tcPr/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tl w:val="0"/>
              </w:rPr>
              <w:t xml:space="preserve">Registrar el caso y asignar un identificador de seguimiento.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4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revisa antecedentes y actualiza resolución.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tl w:val="0"/>
              </w:rPr>
              <w:t xml:space="preserve">Notificar el resultado o solicitar información adicional.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45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6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6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6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6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tl w:val="0"/>
              </w:rPr>
              <w:t xml:space="preserve">La información presentada es insuficiente.</w:t>
            </w:r>
          </w:p>
        </w:tc>
        <w:tc>
          <w:tcPr/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tl w:val="0"/>
              </w:rPr>
              <w:t xml:space="preserve">2.A</w:t>
            </w:r>
          </w:p>
        </w:tc>
        <w:tc>
          <w:tcPr/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tl w:val="0"/>
              </w:rPr>
              <w:t xml:space="preserve">Mantener el caso pendiente y solicitar antecedentes adicionales.</w:t>
            </w:r>
          </w:p>
        </w:tc>
      </w:tr>
    </w:tbl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pStyle w:val="Heading3"/>
        <w:numPr>
          <w:ilvl w:val="2"/>
          <w:numId w:val="1"/>
        </w:numPr>
        <w:ind w:left="2160" w:hanging="720"/>
        <w:rPr/>
      </w:pPr>
      <w:r w:rsidDel="00000000" w:rsidR="00000000" w:rsidRPr="00000000">
        <w:rPr>
          <w:rtl w:val="0"/>
        </w:rPr>
        <w:t xml:space="preserve">Caso de Uso CU018 – Consultar Demanda y Recomendación de Zonas</w:t>
      </w:r>
    </w:p>
    <w:tbl>
      <w:tblPr>
        <w:tblStyle w:val="Table30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7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tl w:val="0"/>
              </w:rPr>
              <w:t xml:space="preserve">Técnico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7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tl w:val="0"/>
              </w:rPr>
              <w:t xml:space="preserve">Orientar al técnico hacia zonas cercanas con mayor oportunidad de servicios.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7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tl w:val="0"/>
              </w:rPr>
              <w:t xml:space="preserve">Técnico autenticado y existencia de datos históricos/recientes suficientes para el análisis.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7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tl w:val="0"/>
              </w:rPr>
              <w:t xml:space="preserve">Se muestran indicadores de demanda y recomendaciones geográficas disponibles para su especialidad.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48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8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8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8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8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tl w:val="0"/>
              </w:rPr>
              <w:t xml:space="preserve">Técnico consulta oportunidades para su especialidad.</w:t>
            </w:r>
          </w:p>
        </w:tc>
        <w:tc>
          <w:tcPr/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tl w:val="0"/>
              </w:rPr>
              <w:t xml:space="preserve">Analizar demanda por zona, horario y categoría usando datos disponibles.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4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tl w:val="0"/>
              </w:rPr>
              <w:t xml:space="preserve">Técnico selecciona una zona sugerida.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tl w:val="0"/>
              </w:rPr>
              <w:t xml:space="preserve">Mostrar nivel de demanda, distancia y referencia geográfica para apoyar su decisión.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49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9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9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A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A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tl w:val="0"/>
              </w:rPr>
              <w:t xml:space="preserve">No existir datos suficientes para una recomendación confiable.</w:t>
            </w:r>
          </w:p>
        </w:tc>
        <w:tc>
          <w:tcPr/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tl w:val="0"/>
              </w:rPr>
              <w:t xml:space="preserve">2.A</w:t>
            </w:r>
          </w:p>
        </w:tc>
        <w:tc>
          <w:tcPr/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tl w:val="0"/>
              </w:rPr>
              <w:t xml:space="preserve">Informar que aún no hay evidencia suficiente y mostrar solo información disponible.</w:t>
            </w:r>
          </w:p>
        </w:tc>
      </w:tr>
    </w:tbl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pStyle w:val="Heading3"/>
        <w:numPr>
          <w:ilvl w:val="2"/>
          <w:numId w:val="1"/>
        </w:numPr>
        <w:ind w:left="2160" w:hanging="720"/>
        <w:rPr/>
      </w:pPr>
      <w:r w:rsidDel="00000000" w:rsidR="00000000" w:rsidRPr="00000000">
        <w:rPr>
          <w:rtl w:val="0"/>
        </w:rPr>
        <w:t xml:space="preserve">Caso de Uso CU019 – Validar y Administrar Técnicos</w:t>
      </w:r>
    </w:p>
    <w:tbl>
      <w:tblPr>
        <w:tblStyle w:val="Table31"/>
        <w:tblW w:w="8828.0" w:type="dxa"/>
        <w:jc w:val="left"/>
        <w:tblBorders>
          <w:top w:color="a6a6a6" w:space="0" w:sz="4" w:val="single"/>
          <w:left w:color="a6a6a6" w:space="0" w:sz="4" w:val="single"/>
          <w:bottom w:color="a6a6a6" w:space="0" w:sz="4" w:val="single"/>
          <w:right w:color="a6a6a6" w:space="0" w:sz="4" w:val="single"/>
          <w:insideH w:color="a6a6a6" w:space="0" w:sz="4" w:val="single"/>
          <w:insideV w:color="a6a6a6" w:space="0" w:sz="4" w:val="single"/>
        </w:tblBorders>
        <w:tblLayout w:type="fixed"/>
        <w:tblLook w:val="0400"/>
      </w:tblPr>
      <w:tblGrid>
        <w:gridCol w:w="1117"/>
        <w:gridCol w:w="1107"/>
        <w:gridCol w:w="2344"/>
        <w:gridCol w:w="1119"/>
        <w:gridCol w:w="3141"/>
        <w:tblGridChange w:id="0">
          <w:tblGrid>
            <w:gridCol w:w="1117"/>
            <w:gridCol w:w="1107"/>
            <w:gridCol w:w="2344"/>
            <w:gridCol w:w="1119"/>
            <w:gridCol w:w="3141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A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A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tl w:val="0"/>
              </w:rPr>
              <w:t xml:space="preserve">Revisar antecedentes y habilitar, suspender o actualizar el estado de técnicos.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B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autenticado y existencia de perfiles técnicos registrados.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a6a6a6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4B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</w:p>
        </w:tc>
        <w:tc>
          <w:tcPr>
            <w:gridSpan w:val="3"/>
            <w:tcBorders>
              <w:bottom w:color="a6a6a6" w:space="0" w:sz="4" w:val="single"/>
            </w:tcBorders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tl w:val="0"/>
              </w:rPr>
              <w:t xml:space="preserve">El estado del técnico queda actualizado y se registra la decisión administrativa.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4B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C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C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C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C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C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revisa identificación, especialidad y antecedentes disponibles.</w:t>
            </w:r>
          </w:p>
        </w:tc>
        <w:tc>
          <w:tcPr/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tl w:val="0"/>
              </w:rPr>
              <w:t xml:space="preserve">Mostrar información del perfil y estado actual.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4C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gridSpan w:val="2"/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tl w:val="0"/>
              </w:rPr>
              <w:t xml:space="preserve">Administrador aprueba o cambia el estado del técnico.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bottom w:color="a6a6a6" w:space="0" w:sz="4" w:val="single"/>
            </w:tcBorders>
            <w:vAlign w:val="center"/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tl w:val="0"/>
              </w:rPr>
              <w:t xml:space="preserve">Guardar la decisión y notificar al técnico cuando corresponda.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4D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Cursos Alternativos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D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4D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D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4D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del Sistema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D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tl w:val="0"/>
              </w:rPr>
              <w:t xml:space="preserve">Detectar antecedentes faltantes o inconsistentes.</w:t>
            </w:r>
          </w:p>
        </w:tc>
        <w:tc>
          <w:tcPr/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tl w:val="0"/>
              </w:rPr>
              <w:t xml:space="preserve">2.A</w:t>
            </w:r>
          </w:p>
        </w:tc>
        <w:tc>
          <w:tcPr/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tl w:val="0"/>
              </w:rPr>
              <w:t xml:space="preserve">Mantener el perfil pendiente y solicitar corrección o documentación adicional.</w:t>
            </w:r>
          </w:p>
        </w:tc>
      </w:tr>
    </w:tbl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76708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67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4f81bd"/>
        <w:rtl w:val="0"/>
      </w:rPr>
      <w:t xml:space="preserve">Arquitectura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5612130" cy="735965"/>
          <wp:effectExtent b="0" l="0" r="0" t="0"/>
          <wp:docPr descr="CURVAS.png" id="9" name="image1.jpg"/>
          <a:graphic>
            <a:graphicData uri="http://schemas.openxmlformats.org/drawingml/2006/picture">
              <pic:pic>
                <pic:nvPicPr>
                  <pic:cNvPr descr="CURVAS.pn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612130" cy="73596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720"/>
      </w:pPr>
      <w:rPr/>
    </w:lvl>
    <w:lvl w:ilvl="1">
      <w:start w:val="1"/>
      <w:numFmt w:val="decimal"/>
      <w:lvlText w:val="%2."/>
      <w:lvlJc w:val="left"/>
      <w:pPr>
        <w:ind w:left="1440" w:hanging="720"/>
      </w:pPr>
      <w:rPr/>
    </w:lvl>
    <w:lvl w:ilvl="2">
      <w:start w:val="1"/>
      <w:numFmt w:val="decimal"/>
      <w:lvlText w:val="%3."/>
      <w:lvlJc w:val="left"/>
      <w:pPr>
        <w:ind w:left="2160" w:hanging="720"/>
      </w:pPr>
      <w:rPr>
        <w:color w:val="000000"/>
      </w:rPr>
    </w:lvl>
    <w:lvl w:ilvl="3">
      <w:start w:val="1"/>
      <w:numFmt w:val="decimal"/>
      <w:lvlText w:val="%4."/>
      <w:lvlJc w:val="left"/>
      <w:pPr>
        <w:ind w:left="2880" w:hanging="720"/>
      </w:pPr>
      <w:rPr/>
    </w:lvl>
    <w:lvl w:ilvl="4">
      <w:start w:val="1"/>
      <w:numFmt w:val="decimal"/>
      <w:lvlText w:val="%5."/>
      <w:lvlJc w:val="left"/>
      <w:pPr>
        <w:ind w:left="3600" w:hanging="720"/>
      </w:pPr>
      <w:rPr/>
    </w:lvl>
    <w:lvl w:ilvl="5">
      <w:start w:val="1"/>
      <w:numFmt w:val="decimal"/>
      <w:lvlText w:val="%6."/>
      <w:lvlJc w:val="left"/>
      <w:pPr>
        <w:ind w:left="4320" w:hanging="720"/>
      </w:pPr>
      <w:rPr/>
    </w:lvl>
    <w:lvl w:ilvl="6">
      <w:start w:val="1"/>
      <w:numFmt w:val="decimal"/>
      <w:lvlText w:val="%7."/>
      <w:lvlJc w:val="left"/>
      <w:pPr>
        <w:ind w:left="5040" w:hanging="720"/>
      </w:pPr>
      <w:rPr/>
    </w:lvl>
    <w:lvl w:ilvl="7">
      <w:start w:val="1"/>
      <w:numFmt w:val="decimal"/>
      <w:lvlText w:val="%8."/>
      <w:lvlJc w:val="left"/>
      <w:pPr>
        <w:ind w:left="5760" w:hanging="720"/>
      </w:pPr>
      <w:rPr/>
    </w:lvl>
    <w:lvl w:ilvl="8">
      <w:start w:val="1"/>
      <w:numFmt w:val="decimal"/>
      <w:lvlText w:val="%9."/>
      <w:lvlJc w:val="left"/>
      <w:pPr>
        <w:ind w:left="6480" w:hanging="72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="360" w:lineRule="auto"/>
      <w:ind w:left="720" w:hanging="720"/>
    </w:pPr>
    <w:rPr>
      <w:rFonts w:ascii="Arial" w:cs="Arial" w:eastAsia="Arial" w:hAnsi="Arial"/>
      <w:b w:val="1"/>
      <w:bCs w:val="1"/>
      <w:color w:val="000000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34"/>
    <w:qFormat w:val="1"/>
    <w:rsid w:val="007538CE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171F4D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71F4D"/>
  </w:style>
  <w:style w:type="paragraph" w:styleId="Piedepgina">
    <w:name w:val="footer"/>
    <w:basedOn w:val="Normal"/>
    <w:link w:val="PiedepginaCar"/>
    <w:uiPriority w:val="99"/>
    <w:unhideWhenUsed w:val="1"/>
    <w:rsid w:val="00171F4D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71F4D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71F4D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71F4D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uiPriority w:val="9"/>
    <w:rsid w:val="008820CB"/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table" w:styleId="Tablaconcuadrcula">
    <w:name w:val="Table Grid"/>
    <w:basedOn w:val="Tablanormal"/>
    <w:uiPriority w:val="59"/>
    <w:rsid w:val="00AC6457"/>
    <w:pPr>
      <w:spacing w:after="0" w:line="240" w:lineRule="auto"/>
    </w:pPr>
    <w:rPr>
      <w:lang w:val="en-US"/>
    </w:r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table" w:styleId="Tabladecuadrcula4-nfasis11" w:customStyle="1">
    <w:name w:val="Tabla de cuadrícula 4 - Énfasis 11"/>
    <w:basedOn w:val="Tablanormal"/>
    <w:uiPriority w:val="49"/>
    <w:rsid w:val="000B5211"/>
    <w:pPr>
      <w:spacing w:after="0" w:line="240" w:lineRule="auto"/>
    </w:p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clara-nfasis1">
    <w:name w:val="Light List Accent 1"/>
    <w:basedOn w:val="Tablanormal"/>
    <w:uiPriority w:val="61"/>
    <w:rsid w:val="000B5211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Cuadrculavistosa-nfasis1">
    <w:name w:val="Colorful Grid Accent 1"/>
    <w:basedOn w:val="Tablanormal"/>
    <w:uiPriority w:val="73"/>
    <w:rsid w:val="000B521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0B521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character" w:styleId="Ttulo3Car" w:customStyle="1">
    <w:name w:val="Título 3 Car"/>
    <w:basedOn w:val="Fuentedeprrafopredeter"/>
    <w:link w:val="Ttulo3"/>
    <w:uiPriority w:val="9"/>
    <w:rsid w:val="00860940"/>
    <w:rPr>
      <w:rFonts w:ascii="Arial" w:cs="Times New Roman" w:eastAsia="Times New Roman" w:hAnsi="Arial"/>
      <w:b w:val="1"/>
      <w:bCs w:val="1"/>
      <w:color w:val="000000"/>
      <w:sz w:val="26"/>
      <w:szCs w:val="26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2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3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4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5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6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7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8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9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a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b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c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d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2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LjbRa+Rg85pEuan6L/tHQdU1LA==">CgMxLjAyCGguZ2pkZ3hzMg5oLnRwcmZ3aDhlajUzMTgAciExQXhKTTNaak1oYW9iZk9BOVZuSWg0SGZTeFFwT2pIa3E=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2017-04-10T00:06:00Z</dcterms:created>
  <dc:creator>Olea Jara Sandra</dc:creator>
</cp:coreProperties>
</file>