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1C1C0" w14:textId="64C91979" w:rsidR="00671DA2" w:rsidRPr="00166817" w:rsidRDefault="00671DA2" w:rsidP="00F77B21">
      <w:pPr>
        <w:jc w:val="center"/>
        <w:rPr>
          <w:rFonts w:ascii="Arial" w:hAnsi="Arial" w:cs="Arial"/>
          <w:b/>
          <w:color w:val="000000" w:themeColor="text1"/>
          <w:sz w:val="28"/>
          <w:szCs w:val="28"/>
          <w:lang w:val="es-UY"/>
        </w:rPr>
      </w:pPr>
    </w:p>
    <w:p w14:paraId="0A3C2E42" w14:textId="77B8D1E8" w:rsidR="00F77B21" w:rsidRPr="00166817" w:rsidRDefault="00F77B21" w:rsidP="00CF3812">
      <w:pPr>
        <w:jc w:val="both"/>
        <w:rPr>
          <w:rFonts w:ascii="Arial" w:hAnsi="Arial" w:cs="Arial"/>
          <w:b/>
          <w:color w:val="000000" w:themeColor="text1"/>
          <w:sz w:val="28"/>
          <w:szCs w:val="28"/>
          <w:lang w:val="es-UY"/>
        </w:rPr>
      </w:pPr>
    </w:p>
    <w:p w14:paraId="22E9F11F" w14:textId="77777777" w:rsidR="004F664F" w:rsidRPr="00166817" w:rsidRDefault="007D6289">
      <w:pPr>
        <w:jc w:val="center"/>
        <w:rPr>
          <w:rFonts w:ascii="Arial" w:hAnsi="Arial" w:cs="Arial"/>
          <w:color w:val="000000" w:themeColor="text1"/>
        </w:rPr>
      </w:pPr>
      <w:r w:rsidRPr="00166817">
        <w:rPr>
          <w:rFonts w:ascii="Arial" w:hAnsi="Arial" w:cs="Arial"/>
          <w:b/>
          <w:color w:val="000000" w:themeColor="text1"/>
          <w:sz w:val="40"/>
        </w:rPr>
        <w:t>Modelos de Procesos de Negocio TO-BE</w:t>
      </w:r>
    </w:p>
    <w:p w14:paraId="03D3EDAF" w14:textId="77777777" w:rsidR="004F664F" w:rsidRPr="00166817" w:rsidRDefault="007D6289">
      <w:pPr>
        <w:jc w:val="center"/>
        <w:rPr>
          <w:rFonts w:ascii="Arial" w:hAnsi="Arial" w:cs="Arial"/>
          <w:color w:val="000000" w:themeColor="text1"/>
        </w:rPr>
      </w:pPr>
      <w:r w:rsidRPr="00166817">
        <w:rPr>
          <w:rFonts w:ascii="Arial" w:hAnsi="Arial" w:cs="Arial"/>
          <w:color w:val="000000" w:themeColor="text1"/>
          <w:sz w:val="24"/>
        </w:rPr>
        <w:t xml:space="preserve">Proyecto </w:t>
      </w:r>
      <w:proofErr w:type="spellStart"/>
      <w:r w:rsidRPr="00166817">
        <w:rPr>
          <w:rFonts w:ascii="Arial" w:hAnsi="Arial" w:cs="Arial"/>
          <w:color w:val="000000" w:themeColor="text1"/>
          <w:sz w:val="24"/>
        </w:rPr>
        <w:t>ServiGo</w:t>
      </w:r>
      <w:proofErr w:type="spellEnd"/>
    </w:p>
    <w:p w14:paraId="7452079F" w14:textId="77777777" w:rsidR="004F664F" w:rsidRPr="00166817" w:rsidRDefault="004F664F">
      <w:pPr>
        <w:rPr>
          <w:rFonts w:ascii="Arial" w:hAnsi="Arial" w:cs="Arial"/>
          <w:color w:val="000000" w:themeColor="text1"/>
        </w:rPr>
      </w:pPr>
    </w:p>
    <w:p w14:paraId="09FB4FAF" w14:textId="77777777" w:rsidR="004F664F" w:rsidRPr="00166817" w:rsidRDefault="007D6289">
      <w:pPr>
        <w:rPr>
          <w:rFonts w:ascii="Arial" w:hAnsi="Arial" w:cs="Arial"/>
          <w:color w:val="000000" w:themeColor="text1"/>
        </w:rPr>
      </w:pPr>
      <w:r w:rsidRPr="00166817">
        <w:rPr>
          <w:rFonts w:ascii="Arial" w:hAnsi="Arial" w:cs="Arial"/>
          <w:color w:val="000000" w:themeColor="text1"/>
        </w:rPr>
        <w:t xml:space="preserve">El presente documento describe los procesos de negocio TO-BE propuestos para </w:t>
      </w:r>
      <w:proofErr w:type="spellStart"/>
      <w:r w:rsidRPr="00166817">
        <w:rPr>
          <w:rFonts w:ascii="Arial" w:hAnsi="Arial" w:cs="Arial"/>
          <w:color w:val="000000" w:themeColor="text1"/>
        </w:rPr>
        <w:t>ServiGo</w:t>
      </w:r>
      <w:proofErr w:type="spellEnd"/>
      <w:r w:rsidRPr="00166817">
        <w:rPr>
          <w:rFonts w:ascii="Arial" w:hAnsi="Arial" w:cs="Arial"/>
          <w:color w:val="000000" w:themeColor="text1"/>
        </w:rPr>
        <w:t xml:space="preserve">, aplicación móvil de intermediación de servicios técnicos a domicilio que conecta clientes con técnicos cercanos mediante geolocalización, reputación, pagos </w:t>
      </w:r>
      <w:proofErr w:type="spellStart"/>
      <w:r w:rsidRPr="00166817">
        <w:rPr>
          <w:rFonts w:ascii="Arial" w:hAnsi="Arial" w:cs="Arial"/>
          <w:color w:val="000000" w:themeColor="text1"/>
        </w:rPr>
        <w:t>sandbox</w:t>
      </w:r>
      <w:proofErr w:type="spellEnd"/>
      <w:r w:rsidRPr="00166817">
        <w:rPr>
          <w:rFonts w:ascii="Arial" w:hAnsi="Arial" w:cs="Arial"/>
          <w:color w:val="000000" w:themeColor="text1"/>
        </w:rPr>
        <w:t>, chat y analítica de demanda territorial.</w:t>
      </w:r>
    </w:p>
    <w:p w14:paraId="092C95DD" w14:textId="77777777" w:rsidR="004F664F" w:rsidRPr="00166817" w:rsidRDefault="007D6289">
      <w:pPr>
        <w:rPr>
          <w:rFonts w:ascii="Arial" w:hAnsi="Arial" w:cs="Arial"/>
          <w:color w:val="000000" w:themeColor="text1"/>
        </w:rPr>
      </w:pPr>
      <w:r w:rsidRPr="00166817">
        <w:rPr>
          <w:rFonts w:ascii="Arial" w:hAnsi="Arial" w:cs="Arial"/>
          <w:color w:val="000000" w:themeColor="text1"/>
        </w:rPr>
        <w:t>1. Proceso TO-BE principal: solicitud y atención de servicio</w:t>
      </w:r>
    </w:p>
    <w:p w14:paraId="0E7DF5FC" w14:textId="77777777" w:rsidR="004F664F" w:rsidRPr="00166817" w:rsidRDefault="007D6289">
      <w:pPr>
        <w:rPr>
          <w:rFonts w:ascii="Arial" w:hAnsi="Arial" w:cs="Arial"/>
          <w:color w:val="000000" w:themeColor="text1"/>
        </w:rPr>
      </w:pPr>
      <w:r w:rsidRPr="00166817">
        <w:rPr>
          <w:rFonts w:ascii="Arial" w:hAnsi="Arial" w:cs="Arial"/>
          <w:b/>
          <w:color w:val="000000" w:themeColor="text1"/>
          <w:sz w:val="32"/>
        </w:rPr>
        <w:t>1. Proceso TO-BE principal: solicitud y atención de servicio</w:t>
      </w:r>
    </w:p>
    <w:p w14:paraId="11528EF4" w14:textId="77777777" w:rsidR="004F664F" w:rsidRPr="00166817" w:rsidRDefault="007D6289">
      <w:pPr>
        <w:rPr>
          <w:rFonts w:ascii="Arial" w:hAnsi="Arial" w:cs="Arial"/>
          <w:color w:val="000000" w:themeColor="text1"/>
        </w:rPr>
      </w:pPr>
      <w:r w:rsidRPr="00166817">
        <w:rPr>
          <w:rFonts w:ascii="Arial" w:hAnsi="Arial" w:cs="Arial"/>
          <w:noProof/>
          <w:color w:val="000000" w:themeColor="text1"/>
        </w:rPr>
        <w:drawing>
          <wp:inline distT="0" distB="0" distL="0" distR="0" wp14:anchorId="66F359DB" wp14:editId="20CB2437">
            <wp:extent cx="6400800" cy="2600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_be_servicio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E848" w14:textId="77777777" w:rsidR="004F664F" w:rsidRPr="00166817" w:rsidRDefault="007D6289">
      <w:pPr>
        <w:rPr>
          <w:rFonts w:ascii="Arial" w:hAnsi="Arial" w:cs="Arial"/>
          <w:color w:val="000000" w:themeColor="text1"/>
        </w:rPr>
      </w:pPr>
      <w:r w:rsidRPr="00166817">
        <w:rPr>
          <w:rFonts w:ascii="Arial" w:hAnsi="Arial" w:cs="Arial"/>
          <w:color w:val="000000" w:themeColor="text1"/>
        </w:rPr>
        <w:t>Este flujo representa el ciclo completo de valor: publicación de la necesidad, búsqueda y asignación del técnico, ejecución del servicio, cierre, pago simulado y evaluación bidireccional.</w:t>
      </w:r>
    </w:p>
    <w:p w14:paraId="4CD5CA21" w14:textId="77777777" w:rsidR="004F664F" w:rsidRPr="00166817" w:rsidRDefault="007D6289">
      <w:pPr>
        <w:rPr>
          <w:rFonts w:ascii="Arial" w:hAnsi="Arial" w:cs="Arial"/>
          <w:color w:val="000000" w:themeColor="text1"/>
        </w:rPr>
      </w:pPr>
      <w:r w:rsidRPr="00166817">
        <w:rPr>
          <w:rFonts w:ascii="Arial" w:hAnsi="Arial" w:cs="Arial"/>
          <w:color w:val="000000" w:themeColor="text1"/>
        </w:rPr>
        <w:t>2. Proceso TO-BE analítico: recomendación territorial al técnico</w:t>
      </w:r>
    </w:p>
    <w:p w14:paraId="40B821C4" w14:textId="77777777" w:rsidR="004F664F" w:rsidRPr="00166817" w:rsidRDefault="007D6289">
      <w:pPr>
        <w:rPr>
          <w:rFonts w:ascii="Arial" w:hAnsi="Arial" w:cs="Arial"/>
          <w:color w:val="000000" w:themeColor="text1"/>
        </w:rPr>
      </w:pPr>
      <w:r w:rsidRPr="00166817">
        <w:rPr>
          <w:rFonts w:ascii="Arial" w:hAnsi="Arial" w:cs="Arial"/>
          <w:b/>
          <w:color w:val="000000" w:themeColor="text1"/>
          <w:sz w:val="32"/>
        </w:rPr>
        <w:t>2. Proceso TO-BE analítico: recomendación territorial al técnico</w:t>
      </w:r>
    </w:p>
    <w:p w14:paraId="72F42482" w14:textId="77777777" w:rsidR="004F664F" w:rsidRPr="00166817" w:rsidRDefault="007D6289">
      <w:pPr>
        <w:rPr>
          <w:rFonts w:ascii="Arial" w:hAnsi="Arial" w:cs="Arial"/>
          <w:color w:val="000000" w:themeColor="text1"/>
        </w:rPr>
      </w:pPr>
      <w:r w:rsidRPr="00166817">
        <w:rPr>
          <w:rFonts w:ascii="Arial" w:hAnsi="Arial" w:cs="Arial"/>
          <w:noProof/>
          <w:color w:val="000000" w:themeColor="text1"/>
        </w:rPr>
        <w:drawing>
          <wp:inline distT="0" distB="0" distL="0" distR="0" wp14:anchorId="2C391CE9" wp14:editId="2616E2B3">
            <wp:extent cx="6400800" cy="2600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_be_tecnic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73EF" w14:textId="77777777" w:rsidR="004F664F" w:rsidRPr="00166817" w:rsidRDefault="007D6289">
      <w:pPr>
        <w:rPr>
          <w:rFonts w:ascii="Arial" w:hAnsi="Arial" w:cs="Arial"/>
          <w:color w:val="000000" w:themeColor="text1"/>
        </w:rPr>
      </w:pPr>
      <w:r w:rsidRPr="00166817">
        <w:rPr>
          <w:rFonts w:ascii="Arial" w:hAnsi="Arial" w:cs="Arial"/>
          <w:color w:val="000000" w:themeColor="text1"/>
        </w:rPr>
        <w:lastRenderedPageBreak/>
        <w:t>Este proceso permite transformar los datos históricos de servicios en recomendaciones para técnicos, identificando comunas, franjas horarias y especialidades con mayor probabilidad de demanda.</w:t>
      </w:r>
    </w:p>
    <w:p w14:paraId="20515019" w14:textId="77777777" w:rsidR="004F664F" w:rsidRPr="00166817" w:rsidRDefault="007D6289">
      <w:pPr>
        <w:rPr>
          <w:rFonts w:ascii="Arial" w:hAnsi="Arial" w:cs="Arial"/>
          <w:color w:val="000000" w:themeColor="text1"/>
        </w:rPr>
      </w:pPr>
      <w:r w:rsidRPr="00166817">
        <w:rPr>
          <w:rFonts w:ascii="Arial" w:hAnsi="Arial" w:cs="Arial"/>
          <w:color w:val="000000" w:themeColor="text1"/>
        </w:rPr>
        <w:t>3. Roles involucrados</w:t>
      </w:r>
    </w:p>
    <w:p w14:paraId="6A7A925E" w14:textId="77777777" w:rsidR="004F664F" w:rsidRPr="00166817" w:rsidRDefault="007D6289">
      <w:pPr>
        <w:rPr>
          <w:rFonts w:ascii="Arial" w:hAnsi="Arial" w:cs="Arial"/>
          <w:color w:val="000000" w:themeColor="text1"/>
        </w:rPr>
      </w:pPr>
      <w:r w:rsidRPr="00166817">
        <w:rPr>
          <w:rFonts w:ascii="Arial" w:hAnsi="Arial" w:cs="Arial"/>
          <w:b/>
          <w:color w:val="000000" w:themeColor="text1"/>
          <w:sz w:val="32"/>
        </w:rPr>
        <w:t>3. Roles involucrados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7"/>
        <w:gridCol w:w="5017"/>
      </w:tblGrid>
      <w:tr w:rsidR="004F664F" w:rsidRPr="00166817" w14:paraId="28549B2E" w14:textId="77777777">
        <w:trPr>
          <w:jc w:val="center"/>
        </w:trPr>
        <w:tc>
          <w:tcPr>
            <w:tcW w:w="5017" w:type="dxa"/>
            <w:shd w:val="clear" w:color="auto" w:fill="D9D9D9"/>
            <w:vAlign w:val="center"/>
          </w:tcPr>
          <w:p w14:paraId="7B4DFE54" w14:textId="77777777" w:rsidR="004F664F" w:rsidRPr="00166817" w:rsidRDefault="007D6289">
            <w:pPr>
              <w:rPr>
                <w:rFonts w:ascii="Arial" w:hAnsi="Arial" w:cs="Arial"/>
                <w:color w:val="000000" w:themeColor="text1"/>
              </w:rPr>
            </w:pPr>
            <w:r w:rsidRPr="00166817">
              <w:rPr>
                <w:rFonts w:ascii="Arial" w:hAnsi="Arial" w:cs="Arial"/>
                <w:b/>
                <w:color w:val="000000" w:themeColor="text1"/>
                <w:sz w:val="18"/>
              </w:rPr>
              <w:t>Rol</w:t>
            </w:r>
          </w:p>
        </w:tc>
        <w:tc>
          <w:tcPr>
            <w:tcW w:w="5017" w:type="dxa"/>
            <w:shd w:val="clear" w:color="auto" w:fill="D9D9D9"/>
            <w:vAlign w:val="center"/>
          </w:tcPr>
          <w:p w14:paraId="7A22E914" w14:textId="77777777" w:rsidR="004F664F" w:rsidRPr="00166817" w:rsidRDefault="007D6289">
            <w:pPr>
              <w:rPr>
                <w:rFonts w:ascii="Arial" w:hAnsi="Arial" w:cs="Arial"/>
                <w:color w:val="000000" w:themeColor="text1"/>
              </w:rPr>
            </w:pPr>
            <w:r w:rsidRPr="00166817">
              <w:rPr>
                <w:rFonts w:ascii="Arial" w:hAnsi="Arial" w:cs="Arial"/>
                <w:b/>
                <w:color w:val="000000" w:themeColor="text1"/>
                <w:sz w:val="18"/>
              </w:rPr>
              <w:t>Responsabilidad</w:t>
            </w:r>
          </w:p>
        </w:tc>
      </w:tr>
      <w:tr w:rsidR="004F664F" w:rsidRPr="00166817" w14:paraId="4489C2B1" w14:textId="77777777">
        <w:trPr>
          <w:jc w:val="center"/>
        </w:trPr>
        <w:tc>
          <w:tcPr>
            <w:tcW w:w="50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D1F160" w14:textId="77777777" w:rsidR="004F664F" w:rsidRPr="00166817" w:rsidRDefault="007D6289">
            <w:pPr>
              <w:rPr>
                <w:rFonts w:ascii="Arial" w:hAnsi="Arial" w:cs="Arial"/>
                <w:color w:val="000000" w:themeColor="text1"/>
              </w:rPr>
            </w:pPr>
            <w:r w:rsidRPr="00166817">
              <w:rPr>
                <w:rFonts w:ascii="Arial" w:hAnsi="Arial" w:cs="Arial"/>
                <w:color w:val="000000" w:themeColor="text1"/>
                <w:sz w:val="17"/>
              </w:rPr>
              <w:t>Cliente</w:t>
            </w:r>
          </w:p>
        </w:tc>
        <w:tc>
          <w:tcPr>
            <w:tcW w:w="50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25DC86" w14:textId="77777777" w:rsidR="004F664F" w:rsidRPr="00166817" w:rsidRDefault="007D6289">
            <w:pPr>
              <w:rPr>
                <w:rFonts w:ascii="Arial" w:hAnsi="Arial" w:cs="Arial"/>
                <w:color w:val="000000" w:themeColor="text1"/>
              </w:rPr>
            </w:pPr>
            <w:r w:rsidRPr="00166817">
              <w:rPr>
                <w:rFonts w:ascii="Arial" w:hAnsi="Arial" w:cs="Arial"/>
                <w:color w:val="000000" w:themeColor="text1"/>
                <w:sz w:val="17"/>
              </w:rPr>
              <w:t>Solicita servicios, selecciona técnico cuando corresponda, realiza pago simulado y evalúa la atención.</w:t>
            </w:r>
          </w:p>
        </w:tc>
      </w:tr>
      <w:tr w:rsidR="004F664F" w:rsidRPr="00166817" w14:paraId="1E69C7CC" w14:textId="77777777">
        <w:trPr>
          <w:jc w:val="center"/>
        </w:trPr>
        <w:tc>
          <w:tcPr>
            <w:tcW w:w="50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FEDB1C" w14:textId="77777777" w:rsidR="004F664F" w:rsidRPr="00166817" w:rsidRDefault="007D6289">
            <w:pPr>
              <w:rPr>
                <w:rFonts w:ascii="Arial" w:hAnsi="Arial" w:cs="Arial"/>
                <w:color w:val="000000" w:themeColor="text1"/>
              </w:rPr>
            </w:pPr>
            <w:r w:rsidRPr="00166817">
              <w:rPr>
                <w:rFonts w:ascii="Arial" w:hAnsi="Arial" w:cs="Arial"/>
                <w:color w:val="000000" w:themeColor="text1"/>
                <w:sz w:val="17"/>
              </w:rPr>
              <w:t>Técnico</w:t>
            </w:r>
          </w:p>
        </w:tc>
        <w:tc>
          <w:tcPr>
            <w:tcW w:w="50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28C712" w14:textId="77777777" w:rsidR="004F664F" w:rsidRPr="00166817" w:rsidRDefault="007D6289">
            <w:pPr>
              <w:rPr>
                <w:rFonts w:ascii="Arial" w:hAnsi="Arial" w:cs="Arial"/>
                <w:color w:val="000000" w:themeColor="text1"/>
              </w:rPr>
            </w:pPr>
            <w:r w:rsidRPr="00166817">
              <w:rPr>
                <w:rFonts w:ascii="Arial" w:hAnsi="Arial" w:cs="Arial"/>
                <w:color w:val="000000" w:themeColor="text1"/>
                <w:sz w:val="17"/>
              </w:rPr>
              <w:t>Gestiona perfil y disponibilidad, acepta solicitudes, registra evidencias, finaliza servicios y evalúa al cliente.</w:t>
            </w:r>
          </w:p>
        </w:tc>
      </w:tr>
      <w:tr w:rsidR="004F664F" w:rsidRPr="00166817" w14:paraId="01740E53" w14:textId="77777777">
        <w:trPr>
          <w:jc w:val="center"/>
        </w:trPr>
        <w:tc>
          <w:tcPr>
            <w:tcW w:w="50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2290CF" w14:textId="77777777" w:rsidR="004F664F" w:rsidRPr="00166817" w:rsidRDefault="007D6289">
            <w:pPr>
              <w:rPr>
                <w:rFonts w:ascii="Arial" w:hAnsi="Arial" w:cs="Arial"/>
                <w:color w:val="000000" w:themeColor="text1"/>
              </w:rPr>
            </w:pPr>
            <w:r w:rsidRPr="00166817">
              <w:rPr>
                <w:rFonts w:ascii="Arial" w:hAnsi="Arial" w:cs="Arial"/>
                <w:color w:val="000000" w:themeColor="text1"/>
                <w:sz w:val="17"/>
              </w:rPr>
              <w:t>Administrador</w:t>
            </w:r>
          </w:p>
        </w:tc>
        <w:tc>
          <w:tcPr>
            <w:tcW w:w="50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81A3BC6" w14:textId="77777777" w:rsidR="004F664F" w:rsidRPr="00166817" w:rsidRDefault="007D6289">
            <w:pPr>
              <w:rPr>
                <w:rFonts w:ascii="Arial" w:hAnsi="Arial" w:cs="Arial"/>
                <w:color w:val="000000" w:themeColor="text1"/>
              </w:rPr>
            </w:pPr>
            <w:r w:rsidRPr="00166817">
              <w:rPr>
                <w:rFonts w:ascii="Arial" w:hAnsi="Arial" w:cs="Arial"/>
                <w:color w:val="000000" w:themeColor="text1"/>
                <w:sz w:val="17"/>
              </w:rPr>
              <w:t>Valida técnicos, administra categorías, revisa reclamos y monitorea indicadores de operación.</w:t>
            </w:r>
          </w:p>
        </w:tc>
      </w:tr>
      <w:tr w:rsidR="004F664F" w:rsidRPr="00166817" w14:paraId="53B0CC0E" w14:textId="77777777">
        <w:trPr>
          <w:jc w:val="center"/>
        </w:trPr>
        <w:tc>
          <w:tcPr>
            <w:tcW w:w="50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C562F23" w14:textId="77777777" w:rsidR="004F664F" w:rsidRPr="00166817" w:rsidRDefault="007D6289">
            <w:pPr>
              <w:rPr>
                <w:rFonts w:ascii="Arial" w:hAnsi="Arial" w:cs="Arial"/>
                <w:color w:val="000000" w:themeColor="text1"/>
              </w:rPr>
            </w:pPr>
            <w:r w:rsidRPr="00166817">
              <w:rPr>
                <w:rFonts w:ascii="Arial" w:hAnsi="Arial" w:cs="Arial"/>
                <w:color w:val="000000" w:themeColor="text1"/>
                <w:sz w:val="17"/>
              </w:rPr>
              <w:t xml:space="preserve">Sistema </w:t>
            </w:r>
            <w:proofErr w:type="spellStart"/>
            <w:r w:rsidRPr="00166817">
              <w:rPr>
                <w:rFonts w:ascii="Arial" w:hAnsi="Arial" w:cs="Arial"/>
                <w:color w:val="000000" w:themeColor="text1"/>
                <w:sz w:val="17"/>
              </w:rPr>
              <w:t>ServiGo</w:t>
            </w:r>
            <w:proofErr w:type="spellEnd"/>
          </w:p>
        </w:tc>
        <w:tc>
          <w:tcPr>
            <w:tcW w:w="50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5B3944" w14:textId="77777777" w:rsidR="004F664F" w:rsidRPr="00166817" w:rsidRDefault="007D6289">
            <w:pPr>
              <w:rPr>
                <w:rFonts w:ascii="Arial" w:hAnsi="Arial" w:cs="Arial"/>
                <w:color w:val="000000" w:themeColor="text1"/>
              </w:rPr>
            </w:pPr>
            <w:r w:rsidRPr="00166817">
              <w:rPr>
                <w:rFonts w:ascii="Arial" w:hAnsi="Arial" w:cs="Arial"/>
                <w:color w:val="000000" w:themeColor="text1"/>
                <w:sz w:val="17"/>
              </w:rPr>
              <w:t>Orquesta autenticación, geolocalización, estados del servicio, notificaciones, pagos y analítica.</w:t>
            </w:r>
          </w:p>
        </w:tc>
      </w:tr>
      <w:tr w:rsidR="004F664F" w:rsidRPr="00166817" w14:paraId="752BB6F5" w14:textId="77777777">
        <w:trPr>
          <w:jc w:val="center"/>
        </w:trPr>
        <w:tc>
          <w:tcPr>
            <w:tcW w:w="50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09113B8" w14:textId="77777777" w:rsidR="004F664F" w:rsidRPr="00166817" w:rsidRDefault="007D6289">
            <w:pPr>
              <w:rPr>
                <w:rFonts w:ascii="Arial" w:hAnsi="Arial" w:cs="Arial"/>
                <w:color w:val="000000" w:themeColor="text1"/>
              </w:rPr>
            </w:pPr>
            <w:r w:rsidRPr="00166817">
              <w:rPr>
                <w:rFonts w:ascii="Arial" w:hAnsi="Arial" w:cs="Arial"/>
                <w:color w:val="000000" w:themeColor="text1"/>
                <w:sz w:val="17"/>
              </w:rPr>
              <w:t>Pasarela de pago</w:t>
            </w:r>
          </w:p>
        </w:tc>
        <w:tc>
          <w:tcPr>
            <w:tcW w:w="50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AE637F" w14:textId="77777777" w:rsidR="004F664F" w:rsidRPr="00166817" w:rsidRDefault="007D6289">
            <w:pPr>
              <w:rPr>
                <w:rFonts w:ascii="Arial" w:hAnsi="Arial" w:cs="Arial"/>
                <w:color w:val="000000" w:themeColor="text1"/>
              </w:rPr>
            </w:pPr>
            <w:r w:rsidRPr="00166817">
              <w:rPr>
                <w:rFonts w:ascii="Arial" w:hAnsi="Arial" w:cs="Arial"/>
                <w:color w:val="000000" w:themeColor="text1"/>
                <w:sz w:val="17"/>
              </w:rPr>
              <w:t>Procesa pagos de prueba/</w:t>
            </w:r>
            <w:proofErr w:type="spellStart"/>
            <w:r w:rsidRPr="00166817">
              <w:rPr>
                <w:rFonts w:ascii="Arial" w:hAnsi="Arial" w:cs="Arial"/>
                <w:color w:val="000000" w:themeColor="text1"/>
                <w:sz w:val="17"/>
              </w:rPr>
              <w:t>sandbox</w:t>
            </w:r>
            <w:proofErr w:type="spellEnd"/>
            <w:r w:rsidRPr="00166817">
              <w:rPr>
                <w:rFonts w:ascii="Arial" w:hAnsi="Arial" w:cs="Arial"/>
                <w:color w:val="000000" w:themeColor="text1"/>
                <w:sz w:val="17"/>
              </w:rPr>
              <w:t xml:space="preserve"> y entrega estados transaccionales al </w:t>
            </w:r>
            <w:proofErr w:type="spellStart"/>
            <w:r w:rsidRPr="00166817">
              <w:rPr>
                <w:rFonts w:ascii="Arial" w:hAnsi="Arial" w:cs="Arial"/>
                <w:color w:val="000000" w:themeColor="text1"/>
                <w:sz w:val="17"/>
              </w:rPr>
              <w:t>backend</w:t>
            </w:r>
            <w:proofErr w:type="spellEnd"/>
            <w:r w:rsidRPr="00166817">
              <w:rPr>
                <w:rFonts w:ascii="Arial" w:hAnsi="Arial" w:cs="Arial"/>
                <w:color w:val="000000" w:themeColor="text1"/>
                <w:sz w:val="17"/>
              </w:rPr>
              <w:t>.</w:t>
            </w:r>
          </w:p>
        </w:tc>
      </w:tr>
    </w:tbl>
    <w:p w14:paraId="62D8F3DD" w14:textId="77777777" w:rsidR="007D6289" w:rsidRPr="00166817" w:rsidRDefault="007D6289">
      <w:pPr>
        <w:rPr>
          <w:rFonts w:ascii="Arial" w:hAnsi="Arial" w:cs="Arial"/>
          <w:color w:val="000000" w:themeColor="text1"/>
        </w:rPr>
      </w:pPr>
    </w:p>
    <w:sectPr w:rsidR="007D6289" w:rsidRPr="00166817">
      <w:pgSz w:w="11906" w:h="16838"/>
      <w:pgMar w:top="1008" w:right="936" w:bottom="1008" w:left="93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F00AF"/>
    <w:multiLevelType w:val="hybridMultilevel"/>
    <w:tmpl w:val="E6C244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511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E94"/>
    <w:rsid w:val="00166817"/>
    <w:rsid w:val="003016CD"/>
    <w:rsid w:val="00301B14"/>
    <w:rsid w:val="003828C1"/>
    <w:rsid w:val="00422655"/>
    <w:rsid w:val="004B5306"/>
    <w:rsid w:val="004F664F"/>
    <w:rsid w:val="00536BCB"/>
    <w:rsid w:val="00651D4D"/>
    <w:rsid w:val="00651DCB"/>
    <w:rsid w:val="00671DA2"/>
    <w:rsid w:val="007D6289"/>
    <w:rsid w:val="008A60D2"/>
    <w:rsid w:val="009C1472"/>
    <w:rsid w:val="00C00310"/>
    <w:rsid w:val="00C907B7"/>
    <w:rsid w:val="00CD4A42"/>
    <w:rsid w:val="00CE7E94"/>
    <w:rsid w:val="00CF3812"/>
    <w:rsid w:val="00D50384"/>
    <w:rsid w:val="00D622BD"/>
    <w:rsid w:val="00D87F12"/>
    <w:rsid w:val="00DB0CEB"/>
    <w:rsid w:val="00EC5DFC"/>
    <w:rsid w:val="00F7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C27B3"/>
  <w15:chartTrackingRefBased/>
  <w15:docId w15:val="{80604A36-96C6-48EF-B889-965D56571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77B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247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Leonelli R.</dc:creator>
  <cp:keywords/>
  <dc:description/>
  <cp:lastModifiedBy>muriel miranda</cp:lastModifiedBy>
  <cp:revision>25</cp:revision>
  <dcterms:created xsi:type="dcterms:W3CDTF">2021-03-14T18:26:00Z</dcterms:created>
  <dcterms:modified xsi:type="dcterms:W3CDTF">2026-09-23T00:46:00Z</dcterms:modified>
</cp:coreProperties>
</file>