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p>
      <w:r>
        <w:br w:type="page"/>
      </w:r>
    </w:p>
    <w:p>
      <w:pPr>
        <w:jc w:val="center"/>
      </w:pPr>
      <w:r>
        <w:rPr>
          <w:b/>
          <w:color w:val="1F4E79"/>
          <w:sz w:val="40"/>
        </w:rPr>
        <w:t>Resumen para Evaluación Formativa Fase 2</w:t>
      </w:r>
    </w:p>
    <w:p>
      <w:pPr>
        <w:jc w:val="center"/>
      </w:pPr>
      <w:r>
        <w:rPr>
          <w:color w:val="666666"/>
          <w:sz w:val="24"/>
        </w:rPr>
        <w:t>Proyecto ServiGo – Equipo</w:t>
      </w:r>
    </w:p>
    <w:p/>
    <w:tbl>
      <w:tblPr>
        <w:tblStyle w:val="Tablaconcuadrcula"/>
        <w:tblW w:type="auto" w:w="0"/>
        <w:jc w:val="center"/>
        <w:tblLook w:firstColumn="1" w:firstRow="1" w:lastColumn="0" w:lastRow="0" w:noHBand="0" w:noVBand="1" w:val="04A0"/>
      </w:tblPr>
      <w:tblGrid>
        <w:gridCol w:w="6984"/>
        <w:gridCol w:w="6984"/>
      </w:tblGrid>
      <w:tr>
        <w:tc>
          <w:tcPr>
            <w:tcW w:type="dxa" w:w="6984"/>
            <w:vAlign w:val="center"/>
            <w:shd w:fill="D9D9D9"/>
          </w:tcPr>
          <w:p>
            <w:r/>
            <w:r>
              <w:rPr>
                <w:b/>
                <w:sz w:val="18"/>
              </w:rPr>
              <w:t>Criterio de evaluación</w:t>
            </w:r>
          </w:p>
        </w:tc>
        <w:tc>
          <w:tcPr>
            <w:tcW w:type="dxa" w:w="6984"/>
            <w:vAlign w:val="center"/>
            <w:shd w:fill="D9D9D9"/>
          </w:tcPr>
          <w:p>
            <w:r/>
            <w:r>
              <w:rPr>
                <w:b/>
                <w:sz w:val="18"/>
              </w:rPr>
              <w:t>Evidencia preparada</w:t>
            </w:r>
          </w:p>
        </w:tc>
      </w:tr>
      <w:tr>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Ajustes considerando dificultades y retroalimentación</w:t>
            </w:r>
          </w:p>
        </w:tc>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Se ajustó la gestión de requerimientos a Scrum, se redujo el alcance a MVP y se asignaron responsables por fortaleza.</w:t>
            </w:r>
          </w:p>
        </w:tc>
      </w:tr>
      <w:tr>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Metodología pertinente</w:t>
            </w:r>
          </w:p>
        </w:tc>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Scrum con Product Backlog, Sprint 0, Sprints, DoR/DoD, ceremonias, minutas y revisión semanal.</w:t>
            </w:r>
          </w:p>
        </w:tc>
      </w:tr>
      <w:tr>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Evidencias de avance</w:t>
            </w:r>
          </w:p>
        </w:tc>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DAS, proceso TO-BE, diccionario de datos, mockups, casos de uso de apoyo, plan maestro, presentación y documentos Fase 2.</w:t>
            </w:r>
          </w:p>
        </w:tc>
      </w:tr>
      <w:tr>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Indicadores de calidad disciplinares</w:t>
            </w:r>
          </w:p>
        </w:tc>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Planificación, control de proyecto, diseño de modelo de datos, desarrollo de software, pruebas y analítica.</w:t>
            </w:r>
          </w:p>
        </w:tc>
      </w:tr>
      <w:tr>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Comunicación escrita / inglés</w:t>
            </w:r>
          </w:p>
        </w:tc>
        <w:tc>
          <w:tcPr>
            <w:tcW w:type="dxa" w:w="6984"/>
            <w:vAlign w:val="center"/>
            <w:top w:val="single" w:sz="4" w:space="0" w:color="A6A6A6"/>
            <w:left w:val="single" w:sz="4" w:space="0" w:color="A6A6A6"/>
            <w:bottom w:val="single" w:sz="4" w:space="0" w:color="A6A6A6"/>
            <w:right w:val="single" w:sz="4" w:space="0" w:color="A6A6A6"/>
            <w:insideH w:val="single" w:sz="4" w:space="0" w:color="A6A6A6"/>
            <w:insideV w:val="single" w:sz="4" w:space="0" w:color="A6A6A6"/>
          </w:tcPr>
          <w:p>
            <w:r/>
            <w:r>
              <w:rPr>
                <w:b w:val="0"/>
                <w:sz w:val="17"/>
              </w:rPr>
              <w:t>Abstract y conclusiones individuales preparados para incorporar al informe técnico final.</w:t>
            </w:r>
          </w:p>
        </w:tc>
      </w:tr>
    </w:tbl>
    <w:p>
      <w:r>
        <w:t>Abstract</w:t>
      </w:r>
    </w:p>
    <w:p>
      <w:r>
        <w:rPr>
          <w:b/>
          <w:color w:val="1F4E79"/>
          <w:sz w:val="32"/>
        </w:rPr>
        <w:t>Abstract</w:t>
      </w:r>
    </w:p>
    <w:p>
      <w:r>
        <w:t>ServiGo is a mobile platform designed to connect customers with home service technicians through geolocation, digital reputation, in-app communication, sandbox payments and data analytics. The project uses an agile Scrum approach to organize its backlog, iterations, evidence and technical deliverables, while integrating mobile development, cloud architecture, NoSQL data modeling, business intelligence and data mining.</w:t>
      </w:r>
    </w:p>
    <w:p>
      <w:r>
        <w:t>Conclusión grupal</w:t>
      </w:r>
    </w:p>
    <w:p>
      <w:r>
        <w:rPr>
          <w:b/>
          <w:color w:val="1F4E79"/>
          <w:sz w:val="32"/>
        </w:rPr>
        <w:t>Conclusión grupal</w:t>
      </w:r>
    </w:p>
    <w:p>
      <w:r>
        <w:t>El avance evidencia que ServiGo cuenta con una base sólida para iniciar desarrollo: existe definición de alcance, arquitectura, datos, procesos, backlog y responsabilidades. La principal prioridad inmediata es validar el modelo Firestore y comenzar el Sprint de implementación móvil sin perder trazabilidad documental.</w:t>
      </w:r>
    </w:p>
    <w:sectPr w:rsidR="001E0E40" w:rsidSect="00C813F4">
      <w:headerReference w:type="default" r:id="rId12"/>
      <w:footerReference w:type="default" r:id="rId13"/>
      <w:pgSz w:w="15840" w:h="12240" w:orient="landscape"/>
      <w:pgMar w:top="1008" w:right="936" w:bottom="1008" w:left="93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Calibri" w:hAnsi="Calibri" w:eastAsia="Times New Roman" w:cs="Times New Roman"/>
      <w:sz w:val="21"/>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