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1f546b"/>
          <w:sz w:val="52"/>
          <w:szCs w:val="52"/>
          <w:rtl w:val="0"/>
        </w:rPr>
        <w:t xml:space="preserve">Service Innovation Lab - Engagement Brief</w:t>
      </w:r>
      <w:r w:rsidDel="00000000" w:rsidR="00000000" w:rsidRPr="00000000">
        <w:rPr>
          <w:rtl w:val="0"/>
        </w:rPr>
      </w:r>
    </w:p>
    <w:tbl>
      <w:tblPr>
        <w:tblStyle w:val="Table1"/>
        <w:tblW w:w="9179.0" w:type="dxa"/>
        <w:jc w:val="left"/>
        <w:tblInd w:w="108.0" w:type="pct"/>
        <w:tblBorders>
          <w:top w:color="1f546b" w:space="0" w:sz="12" w:val="single"/>
          <w:left w:color="1f546b" w:space="0" w:sz="12" w:val="single"/>
          <w:bottom w:color="1f546b" w:space="0" w:sz="12" w:val="single"/>
          <w:right w:color="1f546b" w:space="0" w:sz="12" w:val="single"/>
          <w:insideH w:color="1f546b" w:space="0" w:sz="6" w:val="single"/>
          <w:insideV w:color="1f546b" w:space="0" w:sz="6" w:val="single"/>
        </w:tblBorders>
        <w:tblLayout w:type="fixed"/>
        <w:tblLook w:val="0000"/>
      </w:tblPr>
      <w:tblGrid>
        <w:gridCol w:w="1134"/>
        <w:gridCol w:w="8045"/>
        <w:tblGridChange w:id="0">
          <w:tblGrid>
            <w:gridCol w:w="1134"/>
            <w:gridCol w:w="8045"/>
          </w:tblGrid>
        </w:tblGridChange>
      </w:tblGrid>
      <w:tr>
        <w:tc>
          <w:tcPr>
            <w:tcBorders>
              <w:top w:color="1f546b" w:space="0" w:sz="12" w:val="single"/>
              <w:bottom w:color="ffffff" w:space="0" w:sz="6" w:val="single"/>
            </w:tcBorders>
            <w:shd w:fill="1f546b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spacing w:after="40" w:before="40"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Lines w:val="1"/>
              <w:spacing w:after="40" w:before="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Ministry of Yo</w:t>
            </w:r>
          </w:p>
        </w:tc>
      </w:tr>
      <w:tr>
        <w:tc>
          <w:tcPr>
            <w:tcBorders>
              <w:top w:color="ffffff" w:space="0" w:sz="6" w:val="single"/>
              <w:bottom w:color="ffffff" w:space="0" w:sz="6" w:val="single"/>
            </w:tcBorders>
            <w:shd w:fill="1f546b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spacing w:after="40" w:before="40"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From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Lines w:val="1"/>
              <w:spacing w:after="40" w:before="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Service Innovation Lab</w:t>
            </w:r>
          </w:p>
        </w:tc>
      </w:tr>
      <w:tr>
        <w:tc>
          <w:tcPr>
            <w:tcBorders>
              <w:top w:color="ffffff" w:space="0" w:sz="6" w:val="single"/>
              <w:bottom w:color="ffffff" w:space="0" w:sz="6" w:val="single"/>
            </w:tcBorders>
            <w:shd w:fill="1f546b" w:val="clear"/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Lines w:val="1"/>
              <w:spacing w:after="40" w:before="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August 2019</w:t>
            </w:r>
          </w:p>
        </w:tc>
      </w:tr>
      <w:tr>
        <w:tc>
          <w:tcPr>
            <w:tcBorders>
              <w:top w:color="ffffff" w:space="0" w:sz="6" w:val="single"/>
              <w:bottom w:color="ffffff" w:space="0" w:sz="6" w:val="single"/>
            </w:tcBorders>
            <w:shd w:fill="1f546b" w:val="clear"/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spacing w:after="40" w:before="40"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Lines w:val="1"/>
              <w:spacing w:after="40" w:before="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spacing w:after="120" w:before="120" w:line="240" w:lineRule="auto"/>
        <w:rPr>
          <w:rFonts w:ascii="Calibri" w:cs="Calibri" w:eastAsia="Calibri" w:hAnsi="Calibri"/>
          <w:b w:val="1"/>
          <w:color w:val="1f546b"/>
        </w:rPr>
      </w:pPr>
      <w:r w:rsidDel="00000000" w:rsidR="00000000" w:rsidRPr="00000000">
        <w:rPr>
          <w:rFonts w:ascii="Calibri" w:cs="Calibri" w:eastAsia="Calibri" w:hAnsi="Calibri"/>
          <w:b w:val="1"/>
          <w:color w:val="1f546b"/>
          <w:rtl w:val="0"/>
        </w:rPr>
        <w:t xml:space="preserve">Purpose</w:t>
      </w:r>
    </w:p>
    <w:p w:rsidR="00000000" w:rsidDel="00000000" w:rsidP="00000000" w:rsidRDefault="00000000" w:rsidRPr="00000000" w14:paraId="0000000B">
      <w:pPr>
        <w:keepLines w:val="1"/>
        <w:spacing w:after="12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paper provides an overview of the work required to design and do initial testing on a mechanism for youth to provide feedback into policy writing. </w:t>
      </w:r>
    </w:p>
    <w:p w:rsidR="00000000" w:rsidDel="00000000" w:rsidP="00000000" w:rsidRDefault="00000000" w:rsidRPr="00000000" w14:paraId="0000000C">
      <w:pPr>
        <w:pStyle w:val="Heading3"/>
        <w:spacing w:after="120" w:before="360" w:line="240" w:lineRule="auto"/>
        <w:rPr>
          <w:rFonts w:ascii="Calibri" w:cs="Calibri" w:eastAsia="Calibri" w:hAnsi="Calibri"/>
          <w:b w:val="1"/>
          <w:color w:val="1f546b"/>
        </w:rPr>
      </w:pPr>
      <w:r w:rsidDel="00000000" w:rsidR="00000000" w:rsidRPr="00000000">
        <w:rPr>
          <w:rFonts w:ascii="Calibri" w:cs="Calibri" w:eastAsia="Calibri" w:hAnsi="Calibri"/>
          <w:b w:val="1"/>
          <w:color w:val="1f546b"/>
          <w:rtl w:val="0"/>
        </w:rPr>
        <w:t xml:space="preserve">Executive Summary (Context)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 the last 12 to 18 mo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 till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Through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next stage is to </w:t>
      </w:r>
    </w:p>
    <w:p w:rsidR="00000000" w:rsidDel="00000000" w:rsidP="00000000" w:rsidRDefault="00000000" w:rsidRPr="00000000" w14:paraId="00000011">
      <w:pPr>
        <w:pStyle w:val="Heading3"/>
        <w:spacing w:after="120" w:before="120" w:line="240" w:lineRule="auto"/>
        <w:rPr>
          <w:rFonts w:ascii="Calibri" w:cs="Calibri" w:eastAsia="Calibri" w:hAnsi="Calibri"/>
          <w:b w:val="1"/>
          <w:color w:val="1f546b"/>
        </w:rPr>
      </w:pPr>
      <w:r w:rsidDel="00000000" w:rsidR="00000000" w:rsidRPr="00000000">
        <w:rPr>
          <w:rFonts w:ascii="Calibri" w:cs="Calibri" w:eastAsia="Calibri" w:hAnsi="Calibri"/>
          <w:b w:val="1"/>
          <w:color w:val="1f546b"/>
          <w:rtl w:val="0"/>
        </w:rPr>
        <w:t xml:space="preserve">Recommendations</w:t>
      </w:r>
    </w:p>
    <w:p w:rsidR="00000000" w:rsidDel="00000000" w:rsidP="00000000" w:rsidRDefault="00000000" w:rsidRPr="00000000" w14:paraId="00000012">
      <w:pPr>
        <w:keepLines w:val="1"/>
        <w:spacing w:after="12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recommended that: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tabs>
          <w:tab w:val="left" w:pos="426"/>
        </w:tabs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Service Innovation Lab provide support and guidance with: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tabs>
          <w:tab w:val="left" w:pos="426"/>
        </w:tabs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left" w:pos="426"/>
        </w:tabs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pos="426"/>
        </w:tabs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pos="426"/>
        </w:tabs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pos="426"/>
        </w:tabs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left" w:pos="426"/>
        </w:tabs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1A">
      <w:pPr>
        <w:pStyle w:val="Heading3"/>
        <w:spacing w:after="120" w:before="120" w:line="240" w:lineRule="auto"/>
        <w:rPr>
          <w:rFonts w:ascii="Calibri" w:cs="Calibri" w:eastAsia="Calibri" w:hAnsi="Calibri"/>
          <w:b w:val="1"/>
          <w:color w:val="1f546b"/>
        </w:rPr>
      </w:pPr>
      <w:r w:rsidDel="00000000" w:rsidR="00000000" w:rsidRPr="00000000">
        <w:rPr>
          <w:rFonts w:ascii="Calibri" w:cs="Calibri" w:eastAsia="Calibri" w:hAnsi="Calibri"/>
          <w:b w:val="1"/>
          <w:color w:val="1f546b"/>
          <w:rtl w:val="0"/>
        </w:rPr>
        <w:t xml:space="preserve">Approach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20" w:before="120" w:line="240" w:lineRule="auto"/>
        <w:ind w:left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20" w:before="120" w:line="240" w:lineRule="auto"/>
        <w:ind w:left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20" w:before="120" w:line="240" w:lineRule="auto"/>
        <w:ind w:left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0" w:before="120" w:line="240" w:lineRule="auto"/>
        <w:ind w:left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before="120" w:line="240" w:lineRule="auto"/>
        <w:ind w:left="426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ad</w:t>
      </w:r>
    </w:p>
    <w:p w:rsidR="00000000" w:rsidDel="00000000" w:rsidP="00000000" w:rsidRDefault="00000000" w:rsidRPr="00000000" w14:paraId="00000020">
      <w:pPr>
        <w:pStyle w:val="Heading3"/>
        <w:spacing w:after="120" w:before="120" w:line="240" w:lineRule="auto"/>
        <w:rPr>
          <w:rFonts w:ascii="Calibri" w:cs="Calibri" w:eastAsia="Calibri" w:hAnsi="Calibri"/>
          <w:b w:val="1"/>
          <w:color w:val="1f546b"/>
        </w:rPr>
      </w:pPr>
      <w:bookmarkStart w:colFirst="0" w:colLast="0" w:name="_oe0hdlbwet5v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f546b"/>
          <w:rtl w:val="0"/>
        </w:rPr>
        <w:t xml:space="preserve">Scope of next phase of work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Scope - Support and coordination of the work.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 of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It is not</w:t>
      </w:r>
    </w:p>
    <w:p w:rsidR="00000000" w:rsidDel="00000000" w:rsidP="00000000" w:rsidRDefault="00000000" w:rsidRPr="00000000" w14:paraId="00000023">
      <w:pPr>
        <w:spacing w:after="80" w:before="80" w:line="240" w:lineRule="auto"/>
        <w:rPr>
          <w:rFonts w:ascii="Calibri" w:cs="Calibri" w:eastAsia="Calibri" w:hAnsi="Calibri"/>
          <w:b w:val="1"/>
          <w:color w:val="1f54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80" w:line="240" w:lineRule="auto"/>
        <w:rPr>
          <w:rFonts w:ascii="Calibri" w:cs="Calibri" w:eastAsia="Calibri" w:hAnsi="Calibri"/>
          <w:b w:val="1"/>
          <w:color w:val="1f54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before="80" w:line="240" w:lineRule="auto"/>
        <w:rPr>
          <w:rFonts w:ascii="Calibri" w:cs="Calibri" w:eastAsia="Calibri" w:hAnsi="Calibri"/>
          <w:b w:val="1"/>
          <w:color w:val="1f54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546b"/>
          <w:sz w:val="28"/>
          <w:szCs w:val="28"/>
          <w:rtl w:val="0"/>
        </w:rPr>
        <w:t xml:space="preserve">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costs to engage with the SI Lab will be - </w:t>
      </w:r>
    </w:p>
    <w:tbl>
      <w:tblPr>
        <w:tblStyle w:val="Table2"/>
        <w:tblW w:w="9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6675"/>
        <w:gridCol w:w="1530"/>
        <w:tblGridChange w:id="0">
          <w:tblGrid>
            <w:gridCol w:w="1755"/>
            <w:gridCol w:w="6675"/>
            <w:gridCol w:w="1530"/>
          </w:tblGrid>
        </w:tblGridChange>
      </w:tblGrid>
      <w:tr>
        <w:trPr>
          <w:trHeight w:val="560" w:hRule="atLeast"/>
        </w:trPr>
        <w:tc>
          <w:tcPr>
            <w:tcBorders>
              <w:top w:color="1f546b" w:space="0" w:sz="8" w:val="single"/>
              <w:left w:color="1f546b" w:space="0" w:sz="12" w:val="single"/>
              <w:bottom w:color="000000" w:space="0" w:sz="0" w:val="nil"/>
              <w:right w:color="ffffff" w:space="0" w:sz="8" w:val="single"/>
            </w:tcBorders>
            <w:shd w:fill="1f54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Role</w:t>
            </w:r>
          </w:p>
        </w:tc>
        <w:tc>
          <w:tcPr>
            <w:tcBorders>
              <w:top w:color="1f546b" w:space="0" w:sz="8" w:val="single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1f54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Requirements</w:t>
            </w:r>
          </w:p>
        </w:tc>
        <w:tc>
          <w:tcPr>
            <w:tcBorders>
              <w:top w:color="1f546b" w:space="0" w:sz="8" w:val="single"/>
              <w:left w:color="000000" w:space="0" w:sz="0" w:val="nil"/>
              <w:bottom w:color="000000" w:space="0" w:sz="0" w:val="nil"/>
              <w:right w:color="1f546b" w:space="0" w:sz="12" w:val="single"/>
            </w:tcBorders>
            <w:shd w:fill="1f54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Cost</w:t>
            </w:r>
          </w:p>
        </w:tc>
      </w:tr>
      <w:tr>
        <w:trPr>
          <w:trHeight w:val="1300" w:hRule="atLeast"/>
        </w:trPr>
        <w:tc>
          <w:tcPr>
            <w:tcBorders>
              <w:top w:color="1f546b" w:space="0" w:sz="8" w:val="single"/>
              <w:left w:color="1f546b" w:space="0" w:sz="12" w:val="single"/>
              <w:bottom w:color="1f546b" w:space="0" w:sz="8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Developers</w:t>
            </w:r>
          </w:p>
        </w:tc>
        <w:tc>
          <w:tcPr>
            <w:tcBorders>
              <w:top w:color="1f546b" w:space="0" w:sz="8" w:val="single"/>
              <w:left w:color="000000" w:space="0" w:sz="0" w:val="nil"/>
              <w:bottom w:color="1f546b" w:space="0" w:sz="8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 to 5 weeks for two developers, if a development sprint is needed to either integrate the natural language tools or build an MVP for part of the service.</w:t>
            </w:r>
          </w:p>
        </w:tc>
        <w:tc>
          <w:tcPr>
            <w:tcBorders>
              <w:top w:color="1f546b" w:space="0" w:sz="8" w:val="single"/>
              <w:left w:color="000000" w:space="0" w:sz="0" w:val="nil"/>
              <w:bottom w:color="1f546b" w:space="0" w:sz="8" w:val="single"/>
              <w:right w:color="1f546b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0" w:before="60" w:line="240" w:lineRule="auto"/>
              <w:ind w:left="100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1f546b" w:space="0" w:sz="12" w:val="single"/>
              <w:bottom w:color="1f546b" w:space="0" w:sz="8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 Coaching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546b" w:space="0" w:sz="8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day a week for at least an 8 week period. This role will support and assist the MYD product owner to deliver the role and engage the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546b" w:space="0" w:sz="8" w:val="single"/>
              <w:right w:color="1f546b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60" w:line="240" w:lineRule="auto"/>
              <w:ind w:left="100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1f546b" w:space="0" w:sz="12" w:val="single"/>
              <w:bottom w:color="1f546b" w:space="0" w:sz="8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546b" w:space="0" w:sz="8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day a week to co-ordinate and scrum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546b" w:space="0" w:sz="8" w:val="single"/>
              <w:right w:color="1f546b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0" w:before="60" w:line="240" w:lineRule="auto"/>
              <w:ind w:left="100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1f546b" w:space="0" w:sz="12" w:val="single"/>
              <w:bottom w:color="1f546b" w:space="0" w:sz="8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546b" w:space="0" w:sz="8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 days a week for up to 8 weeks to support overall design and understand how policy writers would like feedback presented so they can best use it in their policy drafting.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546b" w:space="0" w:sz="8" w:val="single"/>
              <w:right w:color="1f546b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0" w:before="60" w:line="240" w:lineRule="auto"/>
              <w:ind w:left="100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1f546b" w:space="0" w:sz="12" w:val="single"/>
              <w:bottom w:color="1f546b" w:space="0" w:sz="12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546b" w:space="0" w:sz="12" w:val="single"/>
              <w:right w:color="1f546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0" w:before="60" w:line="240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546b" w:space="0" w:sz="12" w:val="single"/>
              <w:right w:color="1f546b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before="60" w:line="240" w:lineRule="auto"/>
              <w:ind w:left="10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80" w:before="8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</w:t>
      </w:r>
    </w:p>
    <w:p w:rsidR="00000000" w:rsidDel="00000000" w:rsidP="00000000" w:rsidRDefault="00000000" w:rsidRPr="00000000" w14:paraId="0000003C">
      <w:pPr>
        <w:spacing w:after="80" w:before="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546b"/>
          <w:sz w:val="28"/>
          <w:szCs w:val="28"/>
          <w:rtl w:val="0"/>
        </w:rPr>
        <w:t xml:space="preserve">Who is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8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Team:</w:t>
      </w:r>
    </w:p>
    <w:p w:rsidR="00000000" w:rsidDel="00000000" w:rsidP="00000000" w:rsidRDefault="00000000" w:rsidRPr="00000000" w14:paraId="0000003F">
      <w:pPr>
        <w:spacing w:line="288" w:lineRule="auto"/>
        <w:ind w:left="1440" w:firstLine="0"/>
        <w:rPr/>
      </w:pPr>
      <w:r w:rsidDel="00000000" w:rsidR="00000000" w:rsidRPr="00000000">
        <w:rPr>
          <w:rtl w:val="0"/>
        </w:rPr>
        <w:t xml:space="preserve">Designers: </w:t>
      </w:r>
    </w:p>
    <w:p w:rsidR="00000000" w:rsidDel="00000000" w:rsidP="00000000" w:rsidRDefault="00000000" w:rsidRPr="00000000" w14:paraId="00000040">
      <w:pPr>
        <w:spacing w:line="288" w:lineRule="auto"/>
        <w:ind w:left="1440" w:firstLine="0"/>
        <w:rPr/>
      </w:pPr>
      <w:r w:rsidDel="00000000" w:rsidR="00000000" w:rsidRPr="00000000">
        <w:rPr>
          <w:rtl w:val="0"/>
        </w:rPr>
        <w:t xml:space="preserve">Developer: </w:t>
      </w:r>
    </w:p>
    <w:p w:rsidR="00000000" w:rsidDel="00000000" w:rsidP="00000000" w:rsidRDefault="00000000" w:rsidRPr="00000000" w14:paraId="00000041">
      <w:pPr>
        <w:spacing w:line="288" w:lineRule="auto"/>
        <w:ind w:left="1440" w:firstLine="0"/>
        <w:rPr/>
      </w:pPr>
      <w:r w:rsidDel="00000000" w:rsidR="00000000" w:rsidRPr="00000000">
        <w:rPr>
          <w:rtl w:val="0"/>
        </w:rPr>
        <w:t xml:space="preserve">Scrum Master: </w:t>
      </w:r>
    </w:p>
    <w:p w:rsidR="00000000" w:rsidDel="00000000" w:rsidP="00000000" w:rsidRDefault="00000000" w:rsidRPr="00000000" w14:paraId="00000042">
      <w:pPr>
        <w:spacing w:line="288" w:lineRule="auto"/>
        <w:ind w:left="1440" w:firstLine="0"/>
        <w:rPr/>
      </w:pPr>
      <w:r w:rsidDel="00000000" w:rsidR="00000000" w:rsidRPr="00000000">
        <w:rPr>
          <w:rtl w:val="0"/>
        </w:rPr>
        <w:t xml:space="preserve">Lab Product </w:t>
      </w:r>
    </w:p>
    <w:p w:rsidR="00000000" w:rsidDel="00000000" w:rsidP="00000000" w:rsidRDefault="00000000" w:rsidRPr="00000000" w14:paraId="00000043">
      <w:pPr>
        <w:spacing w:line="288" w:lineRule="auto"/>
        <w:ind w:left="1440" w:firstLine="0"/>
        <w:rPr/>
      </w:pPr>
      <w:r w:rsidDel="00000000" w:rsidR="00000000" w:rsidRPr="00000000">
        <w:rPr>
          <w:rtl w:val="0"/>
        </w:rPr>
        <w:t xml:space="preserve">Lab oversight :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Sponsor / agency Team: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Sponsor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Overseeing project management - 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Product Owner - 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Project Team -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80" w:before="80" w:line="240" w:lineRule="auto"/>
        <w:ind w:left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4B">
      <w:pPr>
        <w:pStyle w:val="Heading3"/>
        <w:spacing w:after="120" w:before="120" w:line="240" w:lineRule="auto"/>
        <w:rPr>
          <w:rFonts w:ascii="Calibri" w:cs="Calibri" w:eastAsia="Calibri" w:hAnsi="Calibri"/>
          <w:b w:val="1"/>
          <w:color w:val="1f546b"/>
        </w:rPr>
      </w:pPr>
      <w:bookmarkStart w:colFirst="0" w:colLast="0" w:name="_kg1ry4qima2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120" w:before="120" w:line="240" w:lineRule="auto"/>
        <w:rPr/>
      </w:pPr>
      <w:bookmarkStart w:colFirst="0" w:colLast="0" w:name="_3kidnsldq445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f546b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