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Online Consumer Engagement with Product GIFs</w:t>
      </w:r>
    </w:p>
    <w:p/>
    <w:p>
      <w:pPr>
        <w:pStyle w:val="Heading2"/>
      </w:pPr>
      <w:r>
        <w:t>Introduction</w:t>
      </w:r>
    </w:p>
    <w:p/>
    <w:p>
      <w:r>
        <w:t>As Lee's Market continues to expand its digital footprint, understanding consumer engagement with our online content is paramount. This report aims to analyze the replay clicks of our food product GIFs, offering insights into consumer preferences and behavior. The findings will guide our future content creation strategies and contribute to enhancing our digital customer experience.</w:t>
      </w:r>
    </w:p>
    <w:p/>
    <w:p>
      <w:pPr>
        <w:pStyle w:val="Heading2"/>
      </w:pPr>
      <w:r>
        <w:t>Overview of Online Consumer Behavior</w:t>
      </w:r>
    </w:p>
    <w:p/>
    <w:p>
      <w:r>
        <w:t>In 2020, Lee's Market observed a 15% increase in online traffic compared to the previous year. This growth was primarily driven by a significant shift in consumer preferences for online shopping, accelerated by the global pandemic. Notably, peak online traffic was observed during evening hours, suggesting that many consumers prefer to shop after their workday.</w:t>
      </w:r>
    </w:p>
    <w:p/>
    <w:p>
      <w:pPr>
        <w:pStyle w:val="Heading2"/>
      </w:pPr>
      <w:r>
        <w:t>Analysis of Food Product GIF Engagement</w:t>
      </w:r>
    </w:p>
    <w:p/>
    <w:p>
      <w:r>
        <w:t>In the last quarter, Lee's Market has invested in enhancing the visual appeal of its product pages by incorporating GIFs. While the overall click rate of product GIFs increased by 8%, the bounce rate simultaneously decreased by 5%. This indicates that GIFs are contributing to better customer engagement and retention on our site.</w:t>
      </w:r>
    </w:p>
    <w:p/>
    <w:p>
      <w:pPr>
        <w:pStyle w:val="Heading2"/>
      </w:pPr>
      <w:r>
        <w:t>Impact of GIF Engagement on Sales Conversion</w:t>
      </w:r>
    </w:p>
    <w:p/>
    <w:p>
      <w:r>
        <w:t>Our data from Q4 2020 suggests that pages with GIFs have a 10% higher conversion rate than those without. This suggests that GIFs are an effective tool for encouraging purchases. However, this requires further study to fully understand the causal relationship and optimize our content strategy accordingly.</w:t>
      </w:r>
    </w:p>
    <w:p/>
    <w:p>
      <w:pPr>
        <w:pStyle w:val="Heading2"/>
      </w:pPr>
      <w:r>
        <w:t>Conclusion</w:t>
      </w:r>
    </w:p>
    <w:p/>
    <w:p>
      <w:r>
        <w:t>The data presented in this report provides valuable insights into the performance of our food product GIFs and their impact on sales conversion. The high engagement with certain GIFs indicates potential areas of product focus and promotional opportunities. We recommend prioritizing these products in our future marketing efforts and exploring similar content formats to increase consumer engagement. Further, continuous monitoring and analysis of GIF engagement are necessary to stay aligned with changing consumer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