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Online Banner Performance Analysis</w:t>
      </w:r>
    </w:p>
    <w:p/>
    <w:p>
      <w:pPr>
        <w:pStyle w:val="Heading2"/>
      </w:pPr>
      <w:r>
        <w:t>Introduction</w:t>
      </w:r>
    </w:p>
    <w:p/>
    <w:p>
      <w:r>
        <w:t>As we continue to enhance our online presence, understanding the effectiveness of our advertisement banners is crucial. This report presents an in-depth analysis of the viewer rates of our homepage banners. It highlights the performance of each banner and provides insights on their overall impact on our online customer engagement.</w:t>
      </w:r>
    </w:p>
    <w:p/>
    <w:p>
      <w:pPr>
        <w:pStyle w:val="Heading2"/>
      </w:pPr>
      <w:r>
        <w:t>Banner Design and Placement Strategies</w:t>
      </w:r>
    </w:p>
    <w:p/>
    <w:p>
      <w:r>
        <w:t>Lee's Market has adopted a data-driven approach to banner design, utilizing customer behavior analytics to inform the creation process. Our marketing department works closely with the design team to ensure the banners are both visually appealing and culturally relevant. Furthermore, we strategically place our banners on high traffic web pages to optimize visibility.</w:t>
      </w:r>
    </w:p>
    <w:p/>
    <w:p>
      <w:pPr>
        <w:pStyle w:val="Heading2"/>
      </w:pPr>
      <w:r>
        <w:t>Detailed Banner Viewer Rate Analysis</w:t>
      </w:r>
    </w:p>
    <w:p/>
    <w:p>
      <w:r>
        <w:t>In 2023, we implemented an advanced tracking system to analyze viewer rates and engagement of our online banners. The metrics collected include click-through rates, time spent on the page, and bounce rates. This data provides valuable insights into customer behavior and preferences.</w:t>
      </w:r>
    </w:p>
    <w:p/>
    <w:p>
      <w:pPr>
        <w:pStyle w:val="Heading2"/>
      </w:pPr>
      <w:r>
        <w:t>Impact of Banner Viewer Rates on Sales</w:t>
      </w:r>
    </w:p>
    <w:p/>
    <w:p>
      <w:r>
        <w:t>Historically, there has been a strong correlation between banner viewer rates and sales. For example, in Q3 2023, a 15% increase in banner viewer rates corresponded with a 5% rise in online sales. Our marketing team continues to leverage this relationship to drive growth.</w:t>
      </w:r>
    </w:p>
    <w:p/>
    <w:p>
      <w:pPr>
        <w:pStyle w:val="Heading2"/>
      </w:pPr>
      <w:r>
        <w:t>Conclusion</w:t>
      </w:r>
    </w:p>
    <w:p/>
    <w:p>
      <w:r>
        <w:t>The report reveals significant insights about the viewer rates of our homepage banners. It underlines the importance of effective banner design and strategic placement, both crucial for enhancing customer engagement online. The findings should guide us in optimizing our future advertising strategies to drive more traffic and ultimately, increase sales.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