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Cybersecurity and Data Protection Report</w:t>
      </w:r>
    </w:p>
    <w:p/>
    <w:p>
      <w:pPr>
        <w:pStyle w:val="Heading2"/>
      </w:pPr>
      <w:r>
        <w:t>Introduction</w:t>
      </w:r>
    </w:p>
    <w:p/>
    <w:p>
      <w:r>
        <w:t>As the IT Manager of MediConn Solutions, I am committed to ensuring the security and integrity of our patient data. This report outlines our current cybersecurity measures, with an emphasis on our defenses against ransomware attacks. The purpose of this document is to provide insight into the security of our IT systems and to identify areas for further improvement.</w:t>
      </w:r>
    </w:p>
    <w:p/>
    <w:p>
      <w:pPr>
        <w:pStyle w:val="Heading2"/>
      </w:pPr>
      <w:r>
        <w:t>Current IT Infrastructure and Security Measures</w:t>
      </w:r>
    </w:p>
    <w:p/>
    <w:p>
      <w:r>
        <w:t>MediConn Solutions leverages a hybrid cloud infrastructure to support its virtual healthcare services. The IT team constantly monitors network traffic, ensuring seamless data flow while maintaining system integrity. Moreover, we have implemented two-factor authentication and encrypted data transmission to safeguard sensitive patient data.</w:t>
      </w:r>
    </w:p>
    <w:p/>
    <w:p>
      <w:pPr>
        <w:pStyle w:val="Heading2"/>
      </w:pPr>
      <w:r>
        <w:t>Ransomware Protection Strategies and Tools</w:t>
      </w:r>
    </w:p>
    <w:p/>
    <w:p>
      <w:r>
        <w:t>We adopt a multi-layered security approach to protect our systems from various threats. It includes firewalls, intrusion detection systems, and antivirus software. Besides, we conduct regular penetration testing to identify potential vulnerabilities and fortify our defense mechanism.</w:t>
      </w:r>
    </w:p>
    <w:p/>
    <w:p>
      <w:pPr>
        <w:pStyle w:val="Heading2"/>
      </w:pPr>
      <w:r>
        <w:t>Incident Response Plan and Remediation Procedures</w:t>
      </w:r>
    </w:p>
    <w:p/>
    <w:p>
      <w:r>
        <w:t>In the event of a security breach, MediConn Solutions follows a comprehensive incident response plan. It involves identifying the breach, containing the situation, and conducting a thorough investigation. Post-incident, we perform system audits and implement necessary measures to prevent future occurrences.</w:t>
      </w:r>
    </w:p>
    <w:p/>
    <w:p>
      <w:pPr>
        <w:pStyle w:val="Heading2"/>
      </w:pPr>
      <w:r>
        <w:t>Conclusion</w:t>
      </w:r>
    </w:p>
    <w:p/>
    <w:p>
      <w:r>
        <w:t>In conclusion, MediConn Solutions has implemented robust systems to protect patient data from ransomware attacks. Our ongoing commitment to cybersecurity is reflected in our proactive approach and investment in industry-leading tools. To further enhance our security posture, it is recommended that we conduct regular audits and staff training. I am confident that our efforts will continue to safeguard our patient data and uphold our reputation as a trustworthy provider of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