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Review of Recent Compliance Violation</w:t>
      </w:r>
    </w:p>
    <w:p/>
    <w:p>
      <w:pPr>
        <w:pStyle w:val="Heading2"/>
      </w:pPr>
      <w:r>
        <w:t>Introduction</w:t>
      </w:r>
    </w:p>
    <w:p/>
    <w:p>
      <w:r>
        <w:t>In line with our commitment to transparency and adherence to regulatory standards, this document serves to discuss and analyse the recent compliance violation that MediConn Solutions has faced. As an organization that operates within the virtual healthcare services industry, it is critical that we maintain strict compliance with the necessary regulations. This report aims to provide a comprehensive understanding of the incident, its implications and necessary steps moving forward.</w:t>
      </w:r>
    </w:p>
    <w:p/>
    <w:p>
      <w:pPr>
        <w:pStyle w:val="Heading2"/>
      </w:pPr>
      <w:r>
        <w:t>Overview of Compliance Standards in Virtual Healthcare</w:t>
      </w:r>
    </w:p>
    <w:p/>
    <w:p>
      <w:r>
        <w:t>The virtual healthcare industry is governed by a range of regulatory frameworks. In Canada, there is a strong emphasis on patient privacy, with the Personal Information Protection and Electronic Documents Act (PIPEDA) being a key statute. Additionally, healthcare providers must adhere to provincial laws and professional licensing bodies' standards. As a virtual healthcare provider, MediConn Solutions maintains strict adherence to these standards.</w:t>
      </w:r>
    </w:p>
    <w:p/>
    <w:p>
      <w:pPr>
        <w:pStyle w:val="Heading2"/>
      </w:pPr>
      <w:r>
        <w:t>Detailed Review of the Recent Compliance Violation</w:t>
      </w:r>
    </w:p>
    <w:p/>
    <w:p>
      <w:r>
        <w:t>In the digital healthcare industry, compliance violations can range from data breaches to unauthorized dissemination of patient information. Depending on the severity, these violations can lead to significant fines and reputational damage. For example, in 2023, a major healthcare provider faced a $1 million fine due to a data breach affecting over 10,000 patients. The incident underlines the importance of strict compliance measures in the sector.</w:t>
      </w:r>
    </w:p>
    <w:p/>
    <w:p>
      <w:pPr>
        <w:pStyle w:val="Heading2"/>
      </w:pPr>
      <w:r>
        <w:t>Impact and Mitigation Strategies for Future Compliance</w:t>
      </w:r>
    </w:p>
    <w:p/>
    <w:p>
      <w:r>
        <w:t>Effective mitigation strategies for compliance issues involve both proactive and reactive measures. Regular audits, cybersecurity enhancements, and employee training can help prevent violations. In case of a violation, swift action, transparent communication, and remedial measures can minimize the impact. MediConn Solutions has a dedicated compliance team that continuously monitors and updates our protocols to ensure adherence to all regulations.</w:t>
      </w:r>
    </w:p>
    <w:p/>
    <w:p>
      <w:pPr>
        <w:pStyle w:val="Heading2"/>
      </w:pPr>
      <w:r>
        <w:t>Conclusion</w:t>
      </w:r>
    </w:p>
    <w:p/>
    <w:p>
      <w:r>
        <w:t>It is clear that the recent compliance violation has implications for our operations. However, with a strong understanding of the circumstances, we can work to mitigate further incidents. It is vital that we take proactive measures to ensure compliance, which includes regular training and updates on regulatory changes. Together, we can maintain MediConn Solutions' reputation as a trusted provider of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