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Patient Privacy Satisfaction Analysis</w:t>
      </w:r>
    </w:p>
    <w:p/>
    <w:p>
      <w:pPr>
        <w:pStyle w:val="Heading2"/>
      </w:pPr>
      <w:r>
        <w:t>Introduction</w:t>
      </w:r>
    </w:p>
    <w:p/>
    <w:p>
      <w:r>
        <w:t>Given the unique nature of our operations at MediConn Solutions, it is paramount that we ensure the privacy of our patients' data, particularly those who make payments exclusively in cash. This document seeks to analyze the satisfaction of these patients with our privacy efforts. The insights derived will aid in strategic decisions towards improving our privacy measures and by extension, patient satisfaction.</w:t>
      </w:r>
    </w:p>
    <w:p/>
    <w:p>
      <w:pPr>
        <w:pStyle w:val="Heading2"/>
      </w:pPr>
      <w:r>
        <w:t>Overview of Cash Payment Procedures</w:t>
      </w:r>
    </w:p>
    <w:p/>
    <w:p>
      <w:r>
        <w:t>MediConn Solutions implemented its cash payment procedures in 2021. These procedures include a secure dropbox system located in company offices across the country, allowing for physical cash transactions. The collected funds are then deposited into our corporate accounts bi-weekly.</w:t>
      </w:r>
    </w:p>
    <w:p/>
    <w:p>
      <w:pPr>
        <w:pStyle w:val="Heading2"/>
      </w:pPr>
      <w:r>
        <w:t>Patient Data Privacy Measures</w:t>
      </w:r>
    </w:p>
    <w:p/>
    <w:p>
      <w:r>
        <w:t>Our company has been devoted to protecting patient data since our inception. In 2022, we updated our encryption protocols to meet the new ISO 27001 standards. We also conduct annual internal audits to verify the effectiveness of our data privacy safeguards.</w:t>
      </w:r>
    </w:p>
    <w:p/>
    <w:p>
      <w:pPr>
        <w:pStyle w:val="Heading2"/>
      </w:pPr>
      <w:r>
        <w:t>Satisfaction Analysis of Privacy Measures</w:t>
      </w:r>
    </w:p>
    <w:p/>
    <w:p>
      <w:r>
        <w:t>MediConn Solutions continuously analyzes patient satisfaction with privacy measures. In 2023, 80% of all patients expressed satisfaction with our data privacy efforts. Our aim is to further improve this figure by making data privacy a prominent part of the patient experience.</w:t>
      </w:r>
    </w:p>
    <w:p/>
    <w:p>
      <w:pPr>
        <w:pStyle w:val="Heading2"/>
      </w:pPr>
      <w:r>
        <w:t>Conclusion</w:t>
      </w:r>
    </w:p>
    <w:p/>
    <w:p>
      <w:r>
        <w:t>The satisfaction of our cash-paying patients with our privacy measures is essential in fostering trust and improving our service delivery. While our current strategies have had some success, improvements can be made to better meet the privacy expectations of these patients. As such, a thorough review of our privacy measures is recommended to identify areas of improvement. A subsequent satisfaction survey will be conducted to measure the impact of any implemented changes.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