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Timely Inventory Update Strategy</w:t>
      </w:r>
    </w:p>
    <w:p/>
    <w:p>
      <w:pPr>
        <w:pStyle w:val="Heading2"/>
      </w:pPr>
      <w:r>
        <w:t>Introduction</w:t>
      </w:r>
    </w:p>
    <w:p/>
    <w:p>
      <w:r>
        <w:t>As Lee's Market continues to expand, it is imperative that our customers receive timely updates on the availability of products. This document outlines a strategic approach to ensure the consistent dissemination of store inventory updates to customers via regular mail by November 10, 2025. It will focus on the logistics of the mail distribution, the necessary technology infrastructure, and the collaboration with our marketing department.</w:t>
      </w:r>
    </w:p>
    <w:p/>
    <w:p>
      <w:pPr>
        <w:pStyle w:val="Heading2"/>
      </w:pPr>
      <w:r>
        <w:t>Logistics of Regular Mail Distribution</w:t>
      </w:r>
    </w:p>
    <w:p/>
    <w:p>
      <w:r>
        <w:t>Our partnership with a national postal service has been instrumental in the broad distribution of our weekly flyers. Over the last quarter, we saw a 3.5% increase in postal deliveries, reaching over 70,000 households. We've also noticed a seasonal pattern with a rise in postal deliveries during the holiday seasons.</w:t>
      </w:r>
    </w:p>
    <w:p/>
    <w:p>
      <w:pPr>
        <w:pStyle w:val="Heading2"/>
      </w:pPr>
      <w:r>
        <w:t>Technological Infrastructure for Inventory Management</w:t>
      </w:r>
    </w:p>
    <w:p/>
    <w:p>
      <w:r>
        <w:t>Lee's Market has successfully implemented an AI-based inventory management system in 2022. This system has significantly improved the accuracy of our stock counts, reducing discrepancies by 20%. It's also automated the reordering process, ensuring we maintain optimal stock levels across all our stores.</w:t>
      </w:r>
    </w:p>
    <w:p/>
    <w:p>
      <w:pPr>
        <w:pStyle w:val="Heading2"/>
      </w:pPr>
      <w:r>
        <w:t>Collaboration with Marketing Department</w:t>
      </w:r>
    </w:p>
    <w:p/>
    <w:p>
      <w:r>
        <w:t>Our marketing team has been effective in promoting our in-store and online offerings. In Q2 2024, their campaigns led to a 15% increase in online orders and a 10% rise in foot traffic. Our ongoing collaboration will focus on promoting our seasonal items and special promotions.</w:t>
      </w:r>
    </w:p>
    <w:p/>
    <w:p>
      <w:pPr>
        <w:pStyle w:val="Heading2"/>
      </w:pPr>
      <w:r>
        <w:t>Conclusion</w:t>
      </w:r>
    </w:p>
    <w:p/>
    <w:p>
      <w:r>
        <w:t>In conclusion, the successful implementation of this strategy requires a synchronized approach in managing our logistics, technology, and marketing collaboration. By optimizing these components, we will ensure our customers are up-to-date with the availability of their favorite products. The next steps are to present this strategy to the respective departments for their input and approval. Upon agreement, the implementation plan can be initiated.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