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Lee's Market Digital Presence Analysis 2024</w:t>
      </w:r>
    </w:p>
    <w:p/>
    <w:p>
      <w:pPr>
        <w:pStyle w:val="Heading2"/>
      </w:pPr>
      <w:r>
        <w:t>Introduction</w:t>
      </w:r>
    </w:p>
    <w:p/>
    <w:p>
      <w:r>
        <w:t>This report provides an overview of Lee's Market digital presence as of June 30, 2024. It covers aspects such as digital infrastructure, online product visibility, and web-based customer engagement. Insights gathered will help shape our strategic plans to further strengthen our online presence and enhance customer experience.</w:t>
      </w:r>
    </w:p>
    <w:p/>
    <w:p>
      <w:pPr>
        <w:pStyle w:val="Heading2"/>
      </w:pPr>
      <w:r>
        <w:t>Digital Infrastructure and Technology Assessment</w:t>
      </w:r>
    </w:p>
    <w:p/>
    <w:p>
      <w:r>
        <w:t>Our digital infrastructure has been a key player in our journey since its inception in 2017. With continuous upgrades, we integrated AI-driven analytics in 2022, which has significantly improved our warehouse efficiency by 30%. Meanwhile, our IT department closely monitors system uptime, ensuring a seamless digital experience for our customers and staff.</w:t>
      </w:r>
    </w:p>
    <w:p/>
    <w:p>
      <w:pPr>
        <w:pStyle w:val="Heading2"/>
      </w:pPr>
      <w:r>
        <w:t>Product Visibility and Online Merchandising</w:t>
      </w:r>
    </w:p>
    <w:p/>
    <w:p>
      <w:r>
        <w:t>Product visibility is crucial in the digital retail space. We've implemented strategies to drive product engagement, such as interactive content and personalized recommendations. In fact, these strategies have led to a 25% increase in online sales in Q1 2024.</w:t>
      </w:r>
    </w:p>
    <w:p/>
    <w:p>
      <w:pPr>
        <w:pStyle w:val="Heading2"/>
      </w:pPr>
      <w:r>
        <w:t>Web-Based Customer Engagement Strategies</w:t>
      </w:r>
    </w:p>
    <w:p/>
    <w:p>
      <w:r>
        <w:t>Our web-based customer engagement strategies are centered around personalization and convenience. In 2023, we launched a loyalty program which has since enrolled 40% of our active online customers. This initiative has led to a 15% increase in repeat purchases.</w:t>
      </w:r>
    </w:p>
    <w:p/>
    <w:p>
      <w:pPr>
        <w:pStyle w:val="Heading2"/>
      </w:pPr>
      <w:r>
        <w:t>Conclusion</w:t>
      </w:r>
    </w:p>
    <w:p/>
    <w:p>
      <w:r>
        <w:t>Our digital presence as of mid-2024 is robust, with a particular emphasis on product visibility and customer engagement. However, continuous improvement in these areas is necessary to stay competitive in the market. Future steps should include leveraging technology advancements to enhance our digital infrastructure and further optimizing our online merchandising strategies. Detailed recommendations and action plans will follow in the subsequent reports.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