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Service Comparison Analysis</w:t>
      </w:r>
    </w:p>
    <w:p/>
    <w:p>
      <w:pPr>
        <w:pStyle w:val="Heading2"/>
      </w:pPr>
      <w:r>
        <w:t>Introduction</w:t>
      </w:r>
    </w:p>
    <w:p/>
    <w:p>
      <w:r>
        <w:t>As MediConn Solutions continues to excel in the virtual healthcare sector, understanding how our services compare to competitors is essential. This report provides a comprehensive analysis of MediConn's service quality, customer perception, and competitive positioning. The insights gleaned will guide our strategic planning and help in the ongoing enhancement of our service offerings.</w:t>
      </w:r>
    </w:p>
    <w:p/>
    <w:p>
      <w:pPr>
        <w:pStyle w:val="Heading2"/>
      </w:pPr>
      <w:r>
        <w:t>Industry Competitive Landscape Overview</w:t>
      </w:r>
    </w:p>
    <w:p/>
    <w:p>
      <w:r>
        <w:t>As of Q3 2021, the virtual healthcare industry has seen a substantial uptick in the number of service providers. A recent report showed a 30% rise in new entrants in the market, largely due to the increase in demand for remote healthcare services during the global pandemic. Despite the surge, MediConn Solutions has maintained a steady 15% market share in the Canadian market.</w:t>
      </w:r>
    </w:p>
    <w:p/>
    <w:p>
      <w:pPr>
        <w:pStyle w:val="Heading2"/>
      </w:pPr>
      <w:r>
        <w:t>MediConn's Service Quality Evaluation</w:t>
      </w:r>
    </w:p>
    <w:p/>
    <w:p>
      <w:r>
        <w:t>MediConn Solutions implemented a rigorous quality assurance process in 2020. The Quality Assurance (QA) department conducts monthly audits to ensure the adherence to healthcare standards and regulations. In 2021, the QA team reported a 98% compliance rate for our digital platforms.</w:t>
      </w:r>
    </w:p>
    <w:p/>
    <w:p>
      <w:pPr>
        <w:pStyle w:val="Heading2"/>
      </w:pPr>
      <w:r>
        <w:t>Customer Perception and Feedback Analysis</w:t>
      </w:r>
    </w:p>
    <w:p/>
    <w:p>
      <w:r>
        <w:t>In a recent survey conducted in July 2021, over 90% of users reported satisfaction with MediConn's platform ease-of-use. Additionally, 85% of respondents appreciated our 24/7 support services. However, a small percentage pointed out areas for improvement in the onboarding process.</w:t>
      </w:r>
    </w:p>
    <w:p/>
    <w:p>
      <w:pPr>
        <w:pStyle w:val="Heading2"/>
      </w:pPr>
      <w:r>
        <w:t>Conclusion</w:t>
      </w:r>
    </w:p>
    <w:p/>
    <w:p>
      <w:r>
        <w:t>This report has highlighted MediConn's standing within the competitive landscape, evaluated our service quality, and analyzed customer feedback. The findings suggest areas of both strength and improvement, which will inform our strategic direction. It is recommended that we leverage our strengths and address areas of improvement to maintain competitiveness and enhance customer satisfaction.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