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Marketing Effectiveness Analysis Summary</w:t>
      </w:r>
    </w:p>
    <w:p/>
    <w:p>
      <w:pPr>
        <w:pStyle w:val="Heading2"/>
      </w:pPr>
      <w:r>
        <w:t>Introduction</w:t>
      </w:r>
    </w:p>
    <w:p/>
    <w:p>
      <w:r>
        <w:t>As we strive for continuous improvement in the performance of our virtual healthcare services, it's essential to periodically evaluate our marketing efforts. This document provides an overview of the most recent external marketing effectiveness analysis conducted for MediConn Solutions. It includes insights on the consultant's recommendations, our progress in implementing them, and the impact on our marketing outcomes.</w:t>
      </w:r>
    </w:p>
    <w:p/>
    <w:p>
      <w:pPr>
        <w:pStyle w:val="Heading2"/>
      </w:pPr>
      <w:r>
        <w:t>Overview of Consultant's Recommendations</w:t>
      </w:r>
    </w:p>
    <w:p/>
    <w:p>
      <w:r>
        <w:t>The consultant recommended an augmentation of our telemedicine platform's user interface, emphasizing an improved patient experience. They also suggested leveraging AI-driven health analytics for personalized care and establishing strategic partnerships with local pharmacies for prescription fulfillment. The consultant also underlined the need for rigorous cybersecurity measures, given the sensitive nature of the data handled.</w:t>
      </w:r>
    </w:p>
    <w:p/>
    <w:p>
      <w:pPr>
        <w:pStyle w:val="Heading2"/>
      </w:pPr>
      <w:r>
        <w:t>Status of Recommendations Implementation</w:t>
      </w:r>
    </w:p>
    <w:p/>
    <w:p>
      <w:r>
        <w:t>As of the end of Q2, the UI enhancements are 80% complete, and we expect full deployment by Q4. The AI initiative is currently in the pilot testing phase with a group of 100 users. Meanwhile, negotiations with local pharmacies are ongoing, with two major chains expressing interest in a potential partnership. Cybersecurity improvements are in progress, with a new data encryption protocol set to launch next month.</w:t>
      </w:r>
    </w:p>
    <w:p/>
    <w:p>
      <w:pPr>
        <w:pStyle w:val="Heading2"/>
      </w:pPr>
      <w:r>
        <w:t>Impact Assessment of Marketing Initiatives</w:t>
      </w:r>
    </w:p>
    <w:p/>
    <w:p>
      <w:r>
        <w:t>Since the implementation of these recommendations, we've seen a 15% increase in new user registrations and a 20% reduction in user churn rate. User feedback has been largely positive, with a 10% increase in our Net Promoter Score. Additionally, our patient engagement metrics, such as session duration and frequency of use, have improved significantly.</w:t>
      </w:r>
    </w:p>
    <w:p/>
    <w:p>
      <w:pPr>
        <w:pStyle w:val="Heading2"/>
      </w:pPr>
      <w:r>
        <w:t>Conclusion</w:t>
      </w:r>
    </w:p>
    <w:p/>
    <w:p>
      <w:r>
        <w:t>The last external consultant analysis has provided valuable insights into our marketing strategies and potential areas for improvement. We have made significant progress in implementing these recommendations. It's crucial to continue monitoring the outcome of these changes and adjust our strategies as needed to ensure optimum marketing performance. The marketing team will continue to share regular updates on this journey.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