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Virtual Healthcare Appointment Compensation Analysis</w:t>
      </w:r>
    </w:p>
    <w:p/>
    <w:p>
      <w:pPr>
        <w:pStyle w:val="Heading2"/>
      </w:pPr>
      <w:r>
        <w:t>Introduction</w:t>
      </w:r>
    </w:p>
    <w:p/>
    <w:p>
      <w:r>
        <w:t>As MediConn Solutions continues to grow and evolve in the virtual healthcare industry, it is crucial to understand our compensation structure for our healthcare professionals. This document provides an overview of the financial aspects related to virtual healthcare appointments. We will explore the current compensation model, the revenue generated from these appointments, and the impact on the overall company financial health.</w:t>
      </w:r>
    </w:p>
    <w:p/>
    <w:p>
      <w:pPr>
        <w:pStyle w:val="Heading2"/>
      </w:pPr>
      <w:r>
        <w:t>Overview of Current Compensation Model</w:t>
      </w:r>
    </w:p>
    <w:p/>
    <w:p>
      <w:r>
        <w:t>MediConn Solutions uphold a transparent compensation model for our healthcare professionals. We conduct regular reviews of our compensation packages, ensuring they are aligned with industry standards and reflect the skills, experience, and responsibilities of our professionals. The last significant revision was finalized on January 1, 2020, which introduced an enhanced benefits package and performance-related incentives.</w:t>
      </w:r>
    </w:p>
    <w:p/>
    <w:p>
      <w:pPr>
        <w:pStyle w:val="Heading2"/>
      </w:pPr>
      <w:r>
        <w:t>Revenue Generation from Virtual Appointments</w:t>
      </w:r>
    </w:p>
    <w:p/>
    <w:p>
      <w:r>
        <w:t>Our virtual healthcare services significantly contribute to our overall revenue generation. Since the launch of our digital platforms in 2018, we have experienced a consistent 15% quarterly growth in revenue from this segment. The adoption of our virtual services by both individuals and businesses has driven this growth.</w:t>
      </w:r>
    </w:p>
    <w:p/>
    <w:p>
      <w:pPr>
        <w:pStyle w:val="Heading2"/>
      </w:pPr>
      <w:r>
        <w:t>Impact on Company's Financial Health</w:t>
      </w:r>
    </w:p>
    <w:p/>
    <w:p>
      <w:r>
        <w:t>The financial health of MediConn Solutions has been positively impacted by the adoption of our virtual services. Our operating expenses have decreased by 10% since 2019, and our EBITDA margin has improved by 8% in the same period. These positive changes affirm the financial viability of our virtual healthcare model.</w:t>
      </w:r>
    </w:p>
    <w:p/>
    <w:p>
      <w:pPr>
        <w:pStyle w:val="Heading2"/>
      </w:pPr>
      <w:r>
        <w:t>Conclusion</w:t>
      </w:r>
    </w:p>
    <w:p/>
    <w:p>
      <w:r>
        <w:t>Understanding our healthcare professionals' compensation model and its impact on our financial health is vital for our company's growth and stability. The insights provided in this document should help us make informed decisions about our business model. As we move forward, we should continually reassess and adjust our compensation structure to maintain competitive rates and ensure our services' profitability. This analysis should serve as a foundation for future discussions and strategies.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