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Secure E-Invoicing Implementation Report</w:t>
      </w:r>
    </w:p>
    <w:p/>
    <w:p>
      <w:pPr>
        <w:pStyle w:val="Heading2"/>
      </w:pPr>
      <w:r>
        <w:t>Introduction</w:t>
      </w:r>
    </w:p>
    <w:p/>
    <w:p>
      <w:r>
        <w:t>As our business expands, security remains a top priority, particularly in our supplier interactions. In response to this need, we have implemented a secure e-invoicing system for our suppliers in April 2025. This report provides an overview of the process, the benefits realized, and the adjustments needed for maximum effectiveness.</w:t>
      </w:r>
    </w:p>
    <w:p/>
    <w:p>
      <w:pPr>
        <w:pStyle w:val="Heading2"/>
      </w:pPr>
      <w:r>
        <w:t>Overview of New E-Invoicing System</w:t>
      </w:r>
    </w:p>
    <w:p/>
    <w:p>
      <w:r>
        <w:t>In March 2025, we launched our new e-invoicing system, improving our invoice processing time by 30%. This system has been designed to accommodate the diverse product offerings of Lee's Market, which include over 10,000 unique SKUs. The system is also equipped with multi-language support, a feature highly appreciated by our international suppliers.</w:t>
      </w:r>
    </w:p>
    <w:p/>
    <w:p>
      <w:pPr>
        <w:pStyle w:val="Heading2"/>
      </w:pPr>
      <w:r>
        <w:t>Security Measures in Supplier Interaction</w:t>
      </w:r>
    </w:p>
    <w:p/>
    <w:p>
      <w:r>
        <w:t>As part of our continuous efforts to ensure security, we have initiated mandatory cybersecurity training for all employees interacting with suppliers. This initiative, started in January 2025, targets reducing security breaches caused by human error. So far, it has been well-received by our staff, achieving a 90% completion rate.</w:t>
      </w:r>
    </w:p>
    <w:p/>
    <w:p>
      <w:pPr>
        <w:pStyle w:val="Heading2"/>
      </w:pPr>
      <w:r>
        <w:t>Post-Implementation Challenges and Solutions</w:t>
      </w:r>
    </w:p>
    <w:p/>
    <w:p>
      <w:r>
        <w:t>Post-implementation, we faced a challenge with our suppliers in rural areas who had limited access to advanced technology. Our solution, rolled out in May 2025, was to provide them with user-friendly technology tutorials. This drastically reduced technology-related issues by 35% within two months.</w:t>
      </w:r>
    </w:p>
    <w:p/>
    <w:p>
      <w:pPr>
        <w:pStyle w:val="Heading2"/>
      </w:pPr>
      <w:r>
        <w:t>Conclusion</w:t>
      </w:r>
    </w:p>
    <w:p/>
    <w:p>
      <w:r>
        <w:t>Our secure e-invoicing system has significantly enhanced our supplier interactions while ensuring the security of our data. However, there are some post-implementation challenges that we need to address for smooth operations. This report recommends that we continue to refine our security measures and provide necessary training to our suppliers. Let's continue to prioritize security as we scale our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