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Managed Security Service Providers: A Strategy for Lee's Market</w:t>
      </w:r>
    </w:p>
    <w:p/>
    <w:p>
      <w:pPr>
        <w:pStyle w:val="Heading2"/>
      </w:pPr>
      <w:r>
        <w:t>Introduction</w:t>
      </w:r>
    </w:p>
    <w:p/>
    <w:p>
      <w:r>
        <w:t>In an era of escalating cybersecurity threats, Lee's Market must continuously reassess its security posture. As the Information Security Manager, it is my responsibility to explore alternatives that can strengthen our defenses while addressing resource constraints. A potential solution lies in outsourcing some security functions to Managed Security Service Providers (MSSPs). This report will explore the implications, benefits, and potential pitfalls of such a strategy.</w:t>
      </w:r>
    </w:p>
    <w:p/>
    <w:p>
      <w:pPr>
        <w:pStyle w:val="Heading2"/>
      </w:pPr>
      <w:r>
        <w:t>Exploring Managed Security Service Providers: Key Considerations</w:t>
      </w:r>
    </w:p>
    <w:p/>
    <w:p>
      <w:r>
        <w:t>In the first quarter of 2025, Lee's Market's payment system signaled several compliance issues, particularly four instances of unrecognized activity. This notification, issued by the Payment Card Industry Data Security Standard (PCI DSS), accentuates the need for enhanced security measures. Given the escalating cyber threats in the retail sector, as evidenced by the VikingCloud report, it's becoming increasingly clear that our internal resources may struggle to keep up with the pace of emerging threats. Partnering with Managed Security Service Providers (MSSPs) could, therefore, provide a robust defensive capability, reducing the likelihood of such compliance alerts and enhancing customer confidence in our payment security.</w:t>
      </w:r>
    </w:p>
    <w:p/>
    <w:p>
      <w:pPr>
        <w:pStyle w:val="Heading2"/>
      </w:pPr>
      <w:r>
        <w:t>Impact of MSSPs on Compliance and Threat Management</w:t>
      </w:r>
    </w:p>
    <w:p/>
    <w:p>
      <w:r>
        <w:t>In 2024, our internal security team handled an average of 200 threat alerts per day. We prioritized these based on risk level, with around 15% classified as high-risk. Despite the high number of alerts, our in-house team was successful in preventing any significant data breaches or non-compliance issues. This outcome was due to the team's dedication, rigorous training, and regular security drills, which will continue to be important regardless of whether we engage an MSSP.</w:t>
      </w:r>
    </w:p>
    <w:p/>
    <w:p>
      <w:pPr>
        <w:pStyle w:val="Heading2"/>
      </w:pPr>
      <w:r>
        <w:t>Improving Customer Trust through Enhanced Data Protection</w:t>
      </w:r>
    </w:p>
    <w:p/>
    <w:p>
      <w:r>
        <w:t>As of 2024, our customer surveys indicate that 75% of our customers trust our ability to protect their data. This trust is crucial for our online sales, which constituted 35% of our total sales in the same year. Our data protection measures, including encryption standards and secure payment gateways, have been instrumental in building this trust. It's our priority to maintain this trust level by continuously improving our data protection measures.</w:t>
      </w:r>
    </w:p>
    <w:p/>
    <w:p>
      <w:pPr>
        <w:pStyle w:val="Heading2"/>
      </w:pPr>
      <w:r>
        <w:t>Conclusion</w:t>
      </w:r>
    </w:p>
    <w:p/>
    <w:p>
      <w:r>
        <w:t>Adopting MSSPs could potentially address our internal resource constraints and enhance our cybersecurity posture. However, it is crucial to thoroughly vet potential providers to ensure their services align with our business needs and regulatory requirements. Moreover, the successful implementation of this strategy requires a robust change management plan. Further discussions with IT, Operations, and HR will be necessary to determine the feasibility of this approach.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