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Crisis Communication Strategies at Lee's Market</w:t>
      </w:r>
    </w:p>
    <w:p/>
    <w:p>
      <w:pPr>
        <w:pStyle w:val="Heading2"/>
      </w:pPr>
      <w:r>
        <w:t>Introduction</w:t>
      </w:r>
    </w:p>
    <w:p/>
    <w:p>
      <w:r>
        <w:t>As a growing retail enterprise, Lee's Market recognizes the importance of effective crisis communication. This document outlines our strategies and procedures to ensure clear, timely, and accurate communication during times of crisis. Our approach balances the need for transparency with our commitment to protecting the brand and maintaining customer trust.</w:t>
      </w:r>
    </w:p>
    <w:p/>
    <w:p>
      <w:pPr>
        <w:pStyle w:val="Heading2"/>
      </w:pPr>
      <w:r>
        <w:t>Existing Crisis Management Protocols</w:t>
      </w:r>
    </w:p>
    <w:p/>
    <w:p>
      <w:r>
        <w:t>Lee's Market implemented a stringent crisis management protocol in 2018, designed to mitigate possible risks. The protocol outlines procedures, technology tools, and decision-making processes to address various situations. In 2020, the protocol was evaluated and updated to ensure its effectiveness and alignment with the market scenario. To date, it has been activated 7 times with an average activation time of 3 hours.</w:t>
      </w:r>
    </w:p>
    <w:p/>
    <w:p>
      <w:pPr>
        <w:pStyle w:val="Heading2"/>
      </w:pPr>
      <w:r>
        <w:t>Roles and Responsibilities in Crisis Communication</w:t>
      </w:r>
    </w:p>
    <w:p/>
    <w:p>
      <w:r>
        <w:t>The crisis communication team at Lee's Market consists of representatives from various departments such as Operations, Marketing, and Legal. The team's role is to maintain transparency and trust with stakeholders during a crisis. This multidisciplinary team meets quarterly to review and update their action plans as per changing business dynamics and market scenarios.</w:t>
      </w:r>
    </w:p>
    <w:p/>
    <w:p>
      <w:pPr>
        <w:pStyle w:val="Heading2"/>
      </w:pPr>
      <w:r>
        <w:t>Case Study: Crisis Communication in Action</w:t>
      </w:r>
    </w:p>
    <w:p/>
    <w:p>
      <w:r>
        <w:t>In 2019, a cyber-attack on Lee's Market's online ordering system exposed the company's vulnerability. The incident led to a brief shutdown of the online ordering system, affecting nearly 5% of daily online orders. The company's swift response limited the damage and restored normal operations within 48 hours.</w:t>
      </w:r>
    </w:p>
    <w:p/>
    <w:p>
      <w:pPr>
        <w:pStyle w:val="Heading2"/>
      </w:pPr>
      <w:r>
        <w:t>Conclusion</w:t>
      </w:r>
    </w:p>
    <w:p/>
    <w:p>
      <w:r>
        <w:t>The outlined strategies highlight our commitment to proactive and transparent crisis communication. It is crucial that all members of Lee's Market understand their roles and responsibilities in such situations. We will continue to review and refine our procedures to ensure we respond effectively to any future crises. Your feedback and collaboration are essential to this continual improvement process.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