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Media Exposure Analysis</w:t>
      </w:r>
    </w:p>
    <w:p/>
    <w:p>
      <w:pPr>
        <w:pStyle w:val="Heading2"/>
      </w:pPr>
      <w:r>
        <w:t>Introduction</w:t>
      </w:r>
    </w:p>
    <w:p/>
    <w:p>
      <w:r>
        <w:t>As part of our ongoing efforts to monitor Lee's Market's brand visibility and reputation, we have tracked the media mentions secured by our company. This report provides an in-depth analysis of these mentions, their impact, and the overall media landscape. The insights from this report will enable us to make data-driven decisions to enhance our media strategy.</w:t>
      </w:r>
    </w:p>
    <w:p/>
    <w:p>
      <w:pPr>
        <w:pStyle w:val="Heading2"/>
      </w:pPr>
      <w:r>
        <w:t>Quantitative Overview of Media Mentions</w:t>
      </w:r>
    </w:p>
    <w:p/>
    <w:p>
      <w:r>
        <w:t>In 2023, we saw a 25% increase in online customer engagement due to our digital marketing efforts. This included a significant boost in our social media followership and website traffic. Our marketing department's rigorous analytics showed that our targeted campaigns were well-received across various demographics.</w:t>
      </w:r>
    </w:p>
    <w:p/>
    <w:p>
      <w:pPr>
        <w:pStyle w:val="Heading2"/>
      </w:pPr>
      <w:r>
        <w:t>Qualitative Evaluation of Media Coverage</w:t>
      </w:r>
    </w:p>
    <w:p/>
    <w:p>
      <w:r>
        <w:t>Our in-house public relations team has been effective in managing our brand's image in the public sphere. They have successfully handled several crisis situations, mitigating potential reputational damage. An example is the recall incident in November 2024 that was smoothly navigated with minimal customer dissatisfaction.</w:t>
      </w:r>
    </w:p>
    <w:p/>
    <w:p>
      <w:pPr>
        <w:pStyle w:val="Heading2"/>
      </w:pPr>
      <w:r>
        <w:t>Competitive Media Landscape Analysis</w:t>
      </w:r>
    </w:p>
    <w:p/>
    <w:p>
      <w:r>
        <w:t>In the retail industry, the competition for media attention is intense. Our closest competitors, such as Chang's Supermarket and Asian Mart, have similar media strategies. They both invest heavily in print and digital advertising to expand their market reach and customer base.</w:t>
      </w:r>
    </w:p>
    <w:p/>
    <w:p>
      <w:pPr>
        <w:pStyle w:val="Heading2"/>
      </w:pPr>
      <w:r>
        <w:t>Conclusion</w:t>
      </w:r>
    </w:p>
    <w:p/>
    <w:p>
      <w:r>
        <w:t>Our media exposure is a crucial component of our brand's visibility and reputation. The analysis shows that we are securing a steady stream of media mentions. However, we must focus on the quality of these mentions and how they compare to our competitors. We recommend an increased focus on proactive media engagement to ensure a positive narrative around Lee's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