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Public Relations Performance Report</w:t>
      </w:r>
    </w:p>
    <w:p/>
    <w:p>
      <w:pPr>
        <w:pStyle w:val="Heading2"/>
      </w:pPr>
      <w:r>
        <w:t>Introduction</w:t>
      </w:r>
    </w:p>
    <w:p/>
    <w:p>
      <w:r>
        <w:t>This report provides an overview of Lee's Market's public relations activities over the past year. It reviews the total profiles placed, analyzes the effectiveness of our placements, and outlines future public relations strategies. As we continue to expand our footprint, maintaining a strong public image is crucial to our success.</w:t>
      </w:r>
    </w:p>
    <w:p/>
    <w:p>
      <w:pPr>
        <w:pStyle w:val="Heading2"/>
      </w:pPr>
      <w:r>
        <w:t>Analysis of Profile Placement Outcomes</w:t>
      </w:r>
    </w:p>
    <w:p/>
    <w:p>
      <w:r>
        <w:t>In 2023, our profile placements were able to generate a significant increase in the overall brand awareness of Lee's Market among key demographics. Particularly, 70% of the respondents in a subsequent customer survey indicated their primary exposure to our brand was through these profiles. This data highlights the strategic impact of profile placements in enhancing our brand visibility.</w:t>
      </w:r>
    </w:p>
    <w:p/>
    <w:p>
      <w:pPr>
        <w:pStyle w:val="Heading2"/>
      </w:pPr>
      <w:r>
        <w:t>Breakdown of Media Outlet Engagement</w:t>
      </w:r>
    </w:p>
    <w:p/>
    <w:p>
      <w:r>
        <w:t>Our engagement with media outlets has been successful in 2023, with a 25% increase in interactions from the previous year. Among these, we saw a greater response from online platforms, accounting for 60% of the total engagement. The online media space is becoming increasingly essential for our public relations strategy.</w:t>
      </w:r>
    </w:p>
    <w:p/>
    <w:p>
      <w:pPr>
        <w:pStyle w:val="Heading2"/>
      </w:pPr>
      <w:r>
        <w:t>Future Public Relations Strategy</w:t>
      </w:r>
    </w:p>
    <w:p/>
    <w:p>
      <w:r>
        <w:t>Moving forward into 2024, we plan to expand our PR efforts to more specialized media outlets focusing on Asian cuisine and lifestyle. Our goal is to increase our outreach by 30% and to leverage influencer partnerships to amplify our brand message. This is a part of our broader strategy to consolidate Lee's Market as the go-to supermarket for Asian products.</w:t>
      </w:r>
    </w:p>
    <w:p/>
    <w:p>
      <w:pPr>
        <w:pStyle w:val="Heading2"/>
      </w:pPr>
      <w:r>
        <w:t>Conclusion</w:t>
      </w:r>
    </w:p>
    <w:p/>
    <w:p>
      <w:r>
        <w:t>The public relations team has made significant strides in increasing the visibility of Lee's Market. The data shows a positive correlation between our profile placement and increased media engagement. As we look towards the future, we must continue to leverage these relationships and adapt our strategy to ensure we remain at the forefront of the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