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2022 Local School Festival Sponsorship Analysis</w:t>
      </w:r>
    </w:p>
    <w:p/>
    <w:p>
      <w:pPr>
        <w:pStyle w:val="Heading2"/>
      </w:pPr>
      <w:r>
        <w:t>Introduction</w:t>
      </w:r>
    </w:p>
    <w:p/>
    <w:p>
      <w:r>
        <w:t>This document provides an in-depth evaluation of Lee's Market's sponsorship of local school festivals in 2022. The aim is to understand the effectiveness of our community outreach efforts and their impact on brand perception. The insights gathered will inform future sponsorship strategies and enhance our corporate social responsibility initiatives.</w:t>
      </w:r>
    </w:p>
    <w:p/>
    <w:p>
      <w:pPr>
        <w:pStyle w:val="Heading2"/>
      </w:pPr>
      <w:r>
        <w:t>Community Engagement Initiatives Evaluation</w:t>
      </w:r>
    </w:p>
    <w:p/>
    <w:p>
      <w:r>
        <w:t>In 2021, Lee's Market launched a series of community engagement initiatives, including local food drives and charity events. The initiatives were well-received, leading to a 15% increase in brand recognition within the communities. The marketing department is currently planning to extend these initiatives to other regions by Q4 2023.</w:t>
      </w:r>
    </w:p>
    <w:p/>
    <w:p>
      <w:pPr>
        <w:pStyle w:val="Heading2"/>
      </w:pPr>
      <w:r>
        <w:t>Brand Perception Among School Festival Attendees</w:t>
      </w:r>
    </w:p>
    <w:p/>
    <w:p>
      <w:r>
        <w:t>Our annual customer surveys show that 40% of festival attendees had a positive perception of the Lee's Market brand in 2021. The majority of respondents appreciated our quality offerings and competitive prices. The marketing team continues to work on initiatives aimed at improving these metrics in the future.</w:t>
      </w:r>
    </w:p>
    <w:p/>
    <w:p>
      <w:pPr>
        <w:pStyle w:val="Heading2"/>
      </w:pPr>
      <w:r>
        <w:t>Strategic Implications for Future Sponsorships</w:t>
      </w:r>
    </w:p>
    <w:p/>
    <w:p>
      <w:r>
        <w:t>In 2019, we sponsored a series of local sports events, which resulted in a 25% increase in foot traffic. These results prompted us to allocate a higher budget for sponsorships in the following years. The team is currently analyzing the results of the 2022 sponsorships to understand their impact better.</w:t>
      </w:r>
    </w:p>
    <w:p/>
    <w:p>
      <w:pPr>
        <w:pStyle w:val="Heading2"/>
      </w:pPr>
      <w:r>
        <w:t>Conclusion</w:t>
      </w:r>
    </w:p>
    <w:p/>
    <w:p>
      <w:r>
        <w:t>The analysis of our school festival sponsorships has provided valuable insights into our community engagement initiatives. The positive reception of our brand signifies the relevance and impact of these efforts. Moving forward, we will use these findings to optimize future sponsorship strategies and further strengthen our community presence. Further research is needed to explore other potential community engagement opportunities.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