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Client Acquisition Analysis</w:t>
      </w:r>
    </w:p>
    <w:p/>
    <w:p>
      <w:pPr>
        <w:pStyle w:val="Heading2"/>
      </w:pPr>
      <w:r>
        <w:t>Introduction</w:t>
      </w:r>
    </w:p>
    <w:p/>
    <w:p>
      <w:r>
        <w:t>As MediConn Solutions continues to thrive in the virtual healthcare industry, understanding our client acquisition strategies is crucial. This document will delve into the various methods we use to attract and retain clients, with a particular focus on referrals. Given our commitment to providing accessible and cost-effective care, it's essential to identify mechanisms driving our growth.</w:t>
      </w:r>
    </w:p>
    <w:p/>
    <w:p>
      <w:pPr>
        <w:pStyle w:val="Heading2"/>
      </w:pPr>
      <w:r>
        <w:t>Overview of Client Acquisition Channels</w:t>
      </w:r>
    </w:p>
    <w:p/>
    <w:p>
      <w:r>
        <w:t>MediConn Solutions employs a multi-channel strategy for client acquisitions, leveraging both digital and traditional platforms. We have seen a 15% year-on-year increase in clients onboarded through our digital platforms from 2022 to 2023. Moreover, our partnerships with businesses have been instrumental in expanding our client base, contributing to a 20% uptick in B2B client additions in the same period.</w:t>
      </w:r>
    </w:p>
    <w:p/>
    <w:p>
      <w:pPr>
        <w:pStyle w:val="Heading2"/>
      </w:pPr>
      <w:r>
        <w:t>Insight into Referral-Based Client Growth</w:t>
      </w:r>
    </w:p>
    <w:p/>
    <w:p>
      <w:r>
        <w:t>Referral-based growth has been a significant part of our client acquisition strategy, given the inherent trust factor involved in this method. We have instituted a robust referral program that rewards both the referrer and the new client, leading to a positive cycle of growth. However, this channel's growth dynamics heavily depend on the quality of service provided, as well as the incentives offered.</w:t>
      </w:r>
    </w:p>
    <w:p/>
    <w:p>
      <w:pPr>
        <w:pStyle w:val="Heading2"/>
      </w:pPr>
      <w:r>
        <w:t>Benchmarking MediConn's Referral Program</w:t>
      </w:r>
    </w:p>
    <w:p/>
    <w:p>
      <w:r>
        <w:t>In 2023, we initiated a benchmarking study to compare our referral program against industry standards and top competitors. The study helped us identify areas of improvement, such as the need to enhance the reward scheme and simplify the referral process. As a result, we introduced several enhancements to our referral program in Q3 2023.</w:t>
      </w:r>
    </w:p>
    <w:p/>
    <w:p>
      <w:pPr>
        <w:pStyle w:val="Heading2"/>
      </w:pPr>
      <w:r>
        <w:t>Conclusion</w:t>
      </w:r>
    </w:p>
    <w:p/>
    <w:p>
      <w:r>
        <w:t>Our client acquisition strategies, especially referrals, significantly influence our growth. Understanding the percentage of clients gained through referrals will help shape our marketing strategies and enhance our services. Moving forward, we should consider investing more resources into referral programs and exploring ways to streamline the client's journey. The insights provided in this document should guide our future strategic decisions.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