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Healthcare Spending Analysis: Public vs Private Sector</w:t>
      </w:r>
    </w:p>
    <w:p/>
    <w:p>
      <w:pPr>
        <w:pStyle w:val="Heading2"/>
      </w:pPr>
      <w:r>
        <w:t>Introduction</w:t>
      </w:r>
    </w:p>
    <w:p/>
    <w:p>
      <w:r>
        <w:t>This report analyzes the recent findings by MediConn Solutions' Marketing Department concerning healthcare spending in Canada. We aim to assess whether the private or public sector accounts for a larger share of the total health expenditure. This understanding is important to guide our strategic planning and future business initiatives in the virtual healthcare market.</w:t>
      </w:r>
    </w:p>
    <w:p/>
    <w:p>
      <w:pPr>
        <w:pStyle w:val="Heading2"/>
      </w:pPr>
      <w:r>
        <w:t>Overview of Canadian Healthcare System</w:t>
      </w:r>
    </w:p>
    <w:p/>
    <w:p>
      <w:r>
        <w:t>The Canadian healthcare system, known as Medicare, is a series of interlocking provincial and territorial health insurance plans. It was established in 1984 under the Canada Health Act. This system aims to ensure that all residents of Canada have reasonable access to medically necessary hospital and physician services, without any direct charges. Over the past decade, the system has evolved with the integration of digital services to match the needs of the modern patient.</w:t>
      </w:r>
    </w:p>
    <w:p/>
    <w:p>
      <w:pPr>
        <w:pStyle w:val="Heading2"/>
      </w:pPr>
      <w:r>
        <w:t>Healthcare Expenditure Analysis</w:t>
      </w:r>
    </w:p>
    <w:p/>
    <w:p>
      <w:r>
        <w:t>Healthcare expenditure is a complex and multi-faceted topic, with numerous factors affecting its trajectory. In Canada, there has been a significant increase in healthcare spending over the past two decades, with an average annual growth rate of 4%. This rise can be attributed to several factors, including the aging population, the increasing prevalence of chronic diseases, and advancements in medical technology.</w:t>
      </w:r>
    </w:p>
    <w:p/>
    <w:p>
      <w:pPr>
        <w:pStyle w:val="Heading2"/>
      </w:pPr>
      <w:r>
        <w:t>Implications for Virtual Healthcare Services</w:t>
      </w:r>
    </w:p>
    <w:p/>
    <w:p>
      <w:r>
        <w:t>The rise of virtual healthcare services has brought about a paradigm shift in the way healthcare is delivered in Canada. In 2020, an estimated 30% of all healthcare consultations were conducted virtually, a significant increase from just 5% in 2015. This trend is expected to continue, with virtual healthcare services playing an increasingly integral role in the Canadian healthcare system.</w:t>
      </w:r>
    </w:p>
    <w:p/>
    <w:p>
      <w:pPr>
        <w:pStyle w:val="Heading2"/>
      </w:pPr>
      <w:r>
        <w:t>Conclusion</w:t>
      </w:r>
    </w:p>
    <w:p/>
    <w:p>
      <w:r>
        <w:t>Understanding the distribution of healthcare spending between the private and public sectors in Canada provides critical insights for our strategic planning. As we continue to expand our services, we must consider the nuances of these sectors. This report serves as a stepping stone for further in-depth analysis and discussions on our growth strategies. We recommend continuing to monitor these spending trends and aligning our strategies accordingly.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