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Sales Expenditure Audit Overview</w:t>
      </w:r>
    </w:p>
    <w:p/>
    <w:p>
      <w:pPr>
        <w:pStyle w:val="Heading2"/>
      </w:pPr>
      <w:r>
        <w:t>Introduction</w:t>
      </w:r>
    </w:p>
    <w:p/>
    <w:p>
      <w:r>
        <w:t>As MediConn Solutions continues to expand its virtual healthcare services, it is important for us to regularly examine our expenditure, particularly in the area of sales. This document provides an overview of the most recent audit on sales-related expenditures, highlighting the findings, recommendations, and the measures taken post-audit. The purpose of this review is to ensure transparency, compliance, and the effective utilization of resources within our organization.</w:t>
      </w:r>
    </w:p>
    <w:p/>
    <w:p>
      <w:pPr>
        <w:pStyle w:val="Heading2"/>
      </w:pPr>
      <w:r>
        <w:t>Overview of Audit Findings</w:t>
      </w:r>
    </w:p>
    <w:p/>
    <w:p>
      <w:r>
        <w:t>Our 2022 audit primarily focused on reviewing our operational efficiency and compliance with privacy regulations. The auditors examined the efficacy of our customer service department and found that our response times were well within industry standards. Further, they confirmed our adherence to the stringent privacy laws governing digital healthcare in Canada.</w:t>
      </w:r>
    </w:p>
    <w:p/>
    <w:p>
      <w:pPr>
        <w:pStyle w:val="Heading2"/>
      </w:pPr>
      <w:r>
        <w:t>Recommendations and Actions Taken Post-Audit</w:t>
      </w:r>
    </w:p>
    <w:p/>
    <w:p>
      <w:r>
        <w:t>Post-audit, the auditors recommended enhancing our data encryption protocols to further fortify patient data security. Consequently, we initiated a partnership with SecureHealthTech in March 2023 to implement advanced encryption measures across our platforms. This has significantly boosted our cybersecurity capabilities.</w:t>
      </w:r>
    </w:p>
    <w:p/>
    <w:p>
      <w:pPr>
        <w:pStyle w:val="Heading2"/>
      </w:pPr>
      <w:r>
        <w:t>Detailed Review of Sales-Related Expenditures</w:t>
      </w:r>
    </w:p>
    <w:p/>
    <w:p>
      <w:r>
        <w:t>Our sales department routinely reviews and optimizes our expenditure on marketing initiatives. In Q3 of 2023, we noted a 20% increase in our marketing spend due to the launch of a new digital healthcare service. These strategic investments have been instrumental in driving growth.</w:t>
      </w:r>
    </w:p>
    <w:p/>
    <w:p>
      <w:pPr>
        <w:pStyle w:val="Heading2"/>
      </w:pPr>
      <w:r>
        <w:t>Conclusion</w:t>
      </w:r>
    </w:p>
    <w:p/>
    <w:p>
      <w:r>
        <w:t>The recent audit on sales-related expenditures has provided valuable insights that will help MediConn Solutions further optimize its resources. The actions taken post-audit reflect our commitment to addressing the identified issues. As we continue to grow, it is essential to regularly conduct such audits to ensure financial integrity and transparency. The next audit is scheduled for the coming financial year to monitor the implementation of the recommended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