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CRM Implementation Overview</w:t>
      </w:r>
    </w:p>
    <w:p/>
    <w:p>
      <w:pPr>
        <w:pStyle w:val="Heading2"/>
      </w:pPr>
      <w:r>
        <w:t>Introduction</w:t>
      </w:r>
    </w:p>
    <w:p/>
    <w:p>
      <w:r>
        <w:t>This document aims to provide an overview of CRM-related activities and initiatives undertaken by MediConn Solutions in Q1 2025. As the company continues to grow and expand its suite of virtual healthcare services, effective data management becomes increasingly critical. This report will discuss the partnerships, strategies, and outcomes related to our CRM system during this period.</w:t>
      </w:r>
    </w:p>
    <w:p/>
    <w:p>
      <w:pPr>
        <w:pStyle w:val="Heading2"/>
      </w:pPr>
      <w:r>
        <w:t>Partnerships for Technological Advancements</w:t>
      </w:r>
    </w:p>
    <w:p/>
    <w:p>
      <w:r>
        <w:t>In Q2 of 2023, MediConn Solutions formed a significant partnership with BioMed Tech, a leading firm specializing in AI-driven healthcare solutions. This collaboration aimed to enhance our telemedicine services, making them more efficient and user-friendly. The partnership has been fruitful with a 20% increase in user satisfaction ratings within the first year.</w:t>
      </w:r>
    </w:p>
    <w:p/>
    <w:p>
      <w:pPr>
        <w:pStyle w:val="Heading2"/>
      </w:pPr>
      <w:r>
        <w:t>CRM Data Storage Strategies</w:t>
      </w:r>
    </w:p>
    <w:p/>
    <w:p>
      <w:r>
        <w:t>MediConn Solutions continuously reviews its CRM data storage strategies to maintain the highest standards of patient confidentiality and data security. As of Q4 2024, the company had transitioned 75% of its data storage to cloud-based systems, with plans for full transition by the end of 2025. This strategy has reduced operational costs by 15% and improved system uptime to 99.9%.</w:t>
      </w:r>
    </w:p>
    <w:p/>
    <w:p>
      <w:pPr>
        <w:pStyle w:val="Heading2"/>
      </w:pPr>
      <w:r>
        <w:t>Outcome of Q1 2025 Initiatives</w:t>
      </w:r>
    </w:p>
    <w:p/>
    <w:p>
      <w:r>
        <w:t>Q1 2025 marked a significant milestone for MediConn Solutions with the successful launch of our new patient portal. It improved patient engagement by around 25% and increased new patient registrations by 15%. We also observed a 10% reduction in administrative workload with the portal's integration.</w:t>
      </w:r>
    </w:p>
    <w:p/>
    <w:p>
      <w:pPr>
        <w:pStyle w:val="Heading2"/>
      </w:pPr>
      <w:r>
        <w:t>Conclusion</w:t>
      </w:r>
    </w:p>
    <w:p/>
    <w:p>
      <w:r>
        <w:t>The partnerships and strategies implemented for CRM data storage in Q1 2025 have had significant impacts on MediConn Solutions' operations and services. The insights outlined in this document should guide future decision-making and strategic planning for the company's data management. Continued focus on enhancing our CRM system will be instrumental in improving efficiency and patient care. Further analysis and monitoring are recommended to optimize these efforts.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