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Corporate Client Analysis 2025</w:t>
      </w:r>
    </w:p>
    <w:p/>
    <w:p>
      <w:pPr>
        <w:pStyle w:val="Heading2"/>
      </w:pPr>
      <w:r>
        <w:t>Introduction</w:t>
      </w:r>
    </w:p>
    <w:p/>
    <w:p>
      <w:r>
        <w:t>This document provides an in-depth analysis of MediConn Solutions' corporate client base in the year 2025. As part of our commitment to continuous improvement and strategic growth, we aim to understand our reach and influence within the corporate sector. This will help us in future planning and decision-making processes related to our service offerings and business development strategies.</w:t>
      </w:r>
    </w:p>
    <w:p/>
    <w:p>
      <w:pPr>
        <w:pStyle w:val="Heading2"/>
      </w:pPr>
      <w:r>
        <w:t>Overview of MediConn's Corporate Client Portfolio</w:t>
      </w:r>
    </w:p>
    <w:p/>
    <w:p>
      <w:r>
        <w:t>MediConn Solutions recognized the potential of digital health early on, launching its first virtual services in 2018. Over the years, we've built a diversified portfolio of corporate clients across various sectors including technology, finance, and manufacturing. Each client is unique, requiring a customized mix of our services to meet their specific needs.</w:t>
      </w:r>
    </w:p>
    <w:p/>
    <w:p>
      <w:pPr>
        <w:pStyle w:val="Heading2"/>
      </w:pPr>
      <w:r>
        <w:t>Trends and Patterns in Corporate Client Acquisition</w:t>
      </w:r>
    </w:p>
    <w:p/>
    <w:p>
      <w:r>
        <w:t>In the second quarter of 2023, we observed a 15% increase in new corporate clients, mainly driven by our targeted marketing campaigns. Typically, our new client acquisitions are higher during the first and fourth quarters, reflecting the budget cycles of potential customers. We continue to refine our acquisition strategies to maintain a steady growth.</w:t>
      </w:r>
    </w:p>
    <w:p/>
    <w:p>
      <w:pPr>
        <w:pStyle w:val="Heading2"/>
      </w:pPr>
      <w:r>
        <w:t>Impact of Corporate Clients on Revenue Generation</w:t>
      </w:r>
    </w:p>
    <w:p/>
    <w:p>
      <w:r>
        <w:t>Corporate clients contribute significantly to MediConn's overall revenue. In 2024, corporate clients accounted for approximately 60% of our revenue, up from 55% in 2023. We have observed a consistent upward trend in revenue generation from our corporate clients over the past three years.</w:t>
      </w:r>
    </w:p>
    <w:p/>
    <w:p>
      <w:pPr>
        <w:pStyle w:val="Heading2"/>
      </w:pPr>
      <w:r>
        <w:t>Conclusion</w:t>
      </w:r>
    </w:p>
    <w:p/>
    <w:p>
      <w:r>
        <w:t>The report offers valuable insights into MediConn's corporate client base in 2025, underscoring the importance of this segment to our overall business strategy. The trends identified will inform our future initiatives and customer engagement strategies. It is recommended that we continue to monitor these metrics closely and adapt our strategies accordingly to optimize our reach within the corporate sector. Let's leverage these insights to strengthen our position in the market and drive growth.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