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Patient Experience in Telehealth</w:t>
      </w:r>
    </w:p>
    <w:p/>
    <w:p>
      <w:pPr>
        <w:pStyle w:val="Heading2"/>
      </w:pPr>
      <w:r>
        <w:t>Introduction</w:t>
      </w:r>
    </w:p>
    <w:p/>
    <w:p>
      <w:r>
        <w:t>As the telehealth sector continues to evolve, it is crucial for MediConn Solutions to stay at the forefront of industry trends. This document explores how we can improve patient experience, focusing on trust, satisfaction, and retention, to maintain our competitive edge in the Canadian market by Q4 2026. It provides a comprehensive analysis based on recent market research and data, aligning with our strategic objectives.</w:t>
      </w:r>
    </w:p>
    <w:p/>
    <w:p>
      <w:pPr>
        <w:pStyle w:val="Heading2"/>
      </w:pPr>
      <w:r>
        <w:t>Assessment of Current Patient Satisfaction Levels</w:t>
      </w:r>
    </w:p>
    <w:p/>
    <w:p>
      <w:r>
        <w:t>Our evaluation of patient satisfaction metrics reveals a significant opportunity for MediConn Solutions to enhance its service offerings. Currently, we accommodate only English-speaking patients, despite the growing linguistic diversity in Canada's population. This lack of language diversity might be a potential roadblock in maximizing patient satisfaction and retention. By Q4 2026, expanding our language support would help us cater to a wider patient base, thus increasing patient trust and satisfaction.</w:t>
      </w:r>
    </w:p>
    <w:p/>
    <w:p>
      <w:pPr>
        <w:pStyle w:val="Heading2"/>
      </w:pPr>
      <w:r>
        <w:t>Review of Emerging Telehealth Industry Trends</w:t>
      </w:r>
    </w:p>
    <w:p/>
    <w:p>
      <w:r>
        <w:t>The Telehealth Industry has seen significant growth in 2025. The industry's annual growth rate reached 18%, driven primarily by the increased adoption of digital platforms during the COVID-19 pandemic. As per projections, the industry is expected to maintain a steady 15% growth rate well into 2027.</w:t>
      </w:r>
    </w:p>
    <w:p/>
    <w:p>
      <w:pPr>
        <w:pStyle w:val="Heading2"/>
      </w:pPr>
      <w:r>
        <w:t>Strategies for Patient Trust and Retention Enhancement</w:t>
      </w:r>
    </w:p>
    <w:p/>
    <w:p>
      <w:r>
        <w:t>In 2025, MediConn Solutions launched a patient loyalty program, incentivizing regular usage of our platform. This initiative led to an increase in patient retention rate by 8% in the first quarter of its implementation. Additionally, we introduced a multi-tiered support system which reduced average resolution time by 25%.</w:t>
      </w:r>
    </w:p>
    <w:p/>
    <w:p>
      <w:pPr>
        <w:pStyle w:val="Heading2"/>
      </w:pPr>
      <w:r>
        <w:t>Conclusion</w:t>
      </w:r>
    </w:p>
    <w:p/>
    <w:p>
      <w:r>
        <w:t>To stay ahead of competitors in the telehealth industry, MediConn Solutions must prioritize enhancing patient trust, satisfaction, and retention. By understanding our current patient satisfaction levels, staying updated with evolving industry trends, and developing targeted strategies, we can create a more robust and patient-centric approach. These insights will inform our next steps in achieving our Q4 2026 targets. Let's leverage our findings to drive improvements in our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