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Social Media Presence Analysis</w:t>
      </w:r>
    </w:p>
    <w:p/>
    <w:p>
      <w:pPr>
        <w:pStyle w:val="Heading2"/>
      </w:pPr>
      <w:r>
        <w:t>Introduction</w:t>
      </w:r>
    </w:p>
    <w:p/>
    <w:p>
      <w:r>
        <w:t>The following document presents an in-depth analysis of MediConn Solutions' growth and engagement on social media platforms. Understanding our performance on these platforms is crucial as they serve as key channels for customer outreach and brand visibility. This report is intended to provide insights into our current strategies, their effectiveness, and areas of potential growth.</w:t>
      </w:r>
    </w:p>
    <w:p/>
    <w:p>
      <w:pPr>
        <w:pStyle w:val="Heading2"/>
      </w:pPr>
      <w:r>
        <w:t>Analysis of Social Media Engagement Metrics</w:t>
      </w:r>
    </w:p>
    <w:p/>
    <w:p>
      <w:r>
        <w:t>Our team has conducted an extensive analysis of MediConn Solutions' Facebook page. We noticed that the average response time to customer inquiries decreased by 25% between 2018 and 2019. Furthermore, the number of shares per post increased by 30% during the same period. This enhancement in engagement is indicative of a proactive social media management strategy.</w:t>
      </w:r>
    </w:p>
    <w:p/>
    <w:p>
      <w:pPr>
        <w:pStyle w:val="Heading2"/>
      </w:pPr>
      <w:r>
        <w:t>Comparison with Industry Peers' Social Media Performance</w:t>
      </w:r>
    </w:p>
    <w:p/>
    <w:p>
      <w:r>
        <w:t>Throughout 2020, our primary competitors have shown varying levels of social media activity. Our closest rival, HealthLink, has been particularly active on Instagram, with an average of 12 posts per week. Meanwhile, CareDirect, another key competitor, has focused more on Twitter, averaging 25 tweets per week.</w:t>
      </w:r>
    </w:p>
    <w:p/>
    <w:p>
      <w:pPr>
        <w:pStyle w:val="Heading2"/>
      </w:pPr>
      <w:r>
        <w:t>Insights on MediConn's Social Media Growth</w:t>
      </w:r>
    </w:p>
    <w:p/>
    <w:p>
      <w:r>
        <w:t>MediConn’s YouTube channel has seen significant growth from 2018 to 2020. The number of subscribers increased by 50%, and the total views rose by 40%. This growth is a testament to our team's commitment to creating engaging and informative video content.</w:t>
      </w:r>
    </w:p>
    <w:p/>
    <w:p>
      <w:pPr>
        <w:pStyle w:val="Heading2"/>
      </w:pPr>
      <w:r>
        <w:t>Conclusion</w:t>
      </w:r>
    </w:p>
    <w:p/>
    <w:p>
      <w:r>
        <w:t>MediConn Solutions' social media presence has shown notable growth, with engagement metrics indicating an increasing interaction level with our audience. Comparatively, we are on par with industry peers, but there are areas where we can further enhance our strategy. Based on our findings, we recommend investing more in targeted content creation and exploring additional digital advertising opportunities.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