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Analysis of Emily Chen's Market Survey</w:t>
      </w:r>
    </w:p>
    <w:p/>
    <w:p>
      <w:pPr>
        <w:pStyle w:val="Heading2"/>
      </w:pPr>
      <w:r>
        <w:t>Introduction</w:t>
      </w:r>
    </w:p>
    <w:p/>
    <w:p>
      <w:r>
        <w:t>This document presents an analysis of Emily Chen's recent market survey conducted for MediConn Solutions. The report scrutinizes the sample size, response rate, and key findings, which are crucial for our strategic planning in virtual healthcare services. It provides a comprehensive understanding of the market scenario, enabling us to make informed decisions.</w:t>
      </w:r>
    </w:p>
    <w:p/>
    <w:p>
      <w:pPr>
        <w:pStyle w:val="Heading2"/>
      </w:pPr>
      <w:r>
        <w:t>Demographic Profile of Survey Respondents</w:t>
      </w:r>
    </w:p>
    <w:p/>
    <w:p>
      <w:r>
        <w:t>In our previous survey, a broad range of age groups was represented, with the majority falling between 25 and 44 years of age. Interestingly, there was a near even split between male and female respondents, indicating a balanced perspective across genders. The largest proportion of respondents came from urban areas, reflecting the increased adoption of virtual healthcare services in densely populated regions.</w:t>
      </w:r>
    </w:p>
    <w:p/>
    <w:p>
      <w:pPr>
        <w:pStyle w:val="Heading2"/>
      </w:pPr>
      <w:r>
        <w:t>Response Rate and Sample Size</w:t>
      </w:r>
    </w:p>
    <w:p/>
    <w:p>
      <w:r>
        <w:t>In 2023, our team conducted a comprehensive market survey with a sample size of 1500 respondents, resulting in a response rate of 68%. The survey was distributed across multiple digital platforms to ensure a wide reach. The high response rate is indicative of the growing interest in virtual healthcare services.</w:t>
      </w:r>
    </w:p>
    <w:p/>
    <w:p>
      <w:pPr>
        <w:pStyle w:val="Heading2"/>
      </w:pPr>
      <w:r>
        <w:t>Key Findings and Market Trends</w:t>
      </w:r>
    </w:p>
    <w:p/>
    <w:p>
      <w:r>
        <w:t>Our market analysis shows a steady increase in the adoption of virtual healthcare services, particularly among millennials. In 2023, approximately 60% of this demographic reported using telehealth services. The trend suggests a promising market for our services in the coming years.</w:t>
      </w:r>
    </w:p>
    <w:p/>
    <w:p>
      <w:pPr>
        <w:pStyle w:val="Heading2"/>
      </w:pPr>
      <w:r>
        <w:t>Conclusion</w:t>
      </w:r>
    </w:p>
    <w:p/>
    <w:p>
      <w:r>
        <w:t>The data from Emily Chen's market survey provides valuable insights into the current market dynamics in the virtual healthcare industry. The analysis of the sample size, response rate, and key findings help us to understand our position in the industry. Moving forward, these findings will serve as a foundation for strategic planning and decision-making. Further research is recommended to explore identified market trends and their implications for MediConn Solutions.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