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Market Research Tools Expenditure Report</w:t>
      </w:r>
    </w:p>
    <w:p/>
    <w:p>
      <w:pPr>
        <w:pStyle w:val="Heading2"/>
      </w:pPr>
      <w:r>
        <w:t>Introduction</w:t>
      </w:r>
    </w:p>
    <w:p/>
    <w:p>
      <w:r>
        <w:t>As MediConn Solutions continues to innovate in the virtual healthcare services space, our market research capabilities remain crucial for staying ahead. This report provides an overview of our current spending on market research web tools. It includes an examination of the costs, benefits, and potential areas for optimization.</w:t>
      </w:r>
    </w:p>
    <w:p/>
    <w:p>
      <w:pPr>
        <w:pStyle w:val="Heading2"/>
      </w:pPr>
      <w:r>
        <w:t>Overview of Market Research Tools Utilized</w:t>
      </w:r>
    </w:p>
    <w:p/>
    <w:p>
      <w:r>
        <w:t>At MediConn Solutions, we've adopted a diverse set of market research tools to better understand our virtual healthcare market. Our primary tools include digital survey platforms, social media analytics software, and customer relationship management systems. These tools aid us in gauging customer satisfaction levels, monitoring industry trends, and facilitating direct patient feedback, thus, enabling us to continually improve our services.</w:t>
      </w:r>
    </w:p>
    <w:p/>
    <w:p>
      <w:pPr>
        <w:pStyle w:val="Heading2"/>
      </w:pPr>
      <w:r>
        <w:t>Monthly Expenditure on Market Research Tools</w:t>
      </w:r>
    </w:p>
    <w:p/>
    <w:p>
      <w:r>
        <w:t>In order to maintain the high standard of our services, MediConn Solutions invests heavily in market research tools. We allocate a significant part of our annual budget to these tools, ensuring that we have access to the latest and most effective solutions. This commitment to market research has been instrumental in maintaining our competitive edge in the virtual healthcare industry.</w:t>
      </w:r>
    </w:p>
    <w:p/>
    <w:p>
      <w:pPr>
        <w:pStyle w:val="Heading2"/>
      </w:pPr>
      <w:r>
        <w:t>Cost-Benefit Analysis of Current Tools</w:t>
      </w:r>
    </w:p>
    <w:p/>
    <w:p>
      <w:r>
        <w:t>Conducting a regular cost-benefit analysis of our market research tools ensures that we maximize the value from our investments. We assess the effectiveness of each tool based on the quality of data it provides and its impact on our strategic decision-making. From Q1 of 2025, we've seen a 15% increase in actionable insights due to our rigorous evaluation process.</w:t>
      </w:r>
    </w:p>
    <w:p/>
    <w:p>
      <w:pPr>
        <w:pStyle w:val="Heading2"/>
      </w:pPr>
      <w:r>
        <w:t>Conclusion</w:t>
      </w:r>
    </w:p>
    <w:p/>
    <w:p>
      <w:r>
        <w:t>Understanding our spending on market research tools is pivotal for strategic financial planning. It is evident that our investments are yielding valuable insights, although there may be areas for cost optimization. Moving forward, we should continually assess the efficacy of our tools to ensure that we are maximizing our return on investment.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