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Competitor Advertising Analysis Report</w:t>
      </w:r>
    </w:p>
    <w:p/>
    <w:p>
      <w:pPr>
        <w:pStyle w:val="Heading2"/>
      </w:pPr>
      <w:r>
        <w:t>Introduction</w:t>
      </w:r>
    </w:p>
    <w:p/>
    <w:p>
      <w:r>
        <w:t>In the rapidly evolving virtual healthcare landscape, understanding our competitors' advertising strategies is critical. This report provides an overview of the advertising efforts of our competitors, as identified and tracked by the MediConn Solutions marketing team. It aims to shed light on the competitive landscape, identify trends, and inform our future marketing strategies.</w:t>
      </w:r>
    </w:p>
    <w:p/>
    <w:p>
      <w:pPr>
        <w:pStyle w:val="Heading2"/>
      </w:pPr>
      <w:r>
        <w:t>Comprehensive Overview of Competitor Advertising</w:t>
      </w:r>
    </w:p>
    <w:p/>
    <w:p>
      <w:r>
        <w:t>The virtual healthcare market has seen a significant rise in advertising activity from various competitors. In 2019, we saw a 20% increase in digital marketing initiatives, with a particular focus on social media platforms and search engine optimization. The most prevalent themes included cost-effectiveness, user-friendliness, and data security.</w:t>
      </w:r>
    </w:p>
    <w:p/>
    <w:p>
      <w:pPr>
        <w:pStyle w:val="Heading2"/>
      </w:pPr>
      <w:r>
        <w:t>Trends in Virtual Healthcare Advertising</w:t>
      </w:r>
    </w:p>
    <w:p/>
    <w:p>
      <w:r>
        <w:t>There's been a paradigm shift in virtual healthcare advertising with an increased emphasis on patient convenience and accessibility. In 2020, 35% of the ads highlighted 24/7 availability of services. Furthermore, there's a growing trend towards personalization, with 45% of the ads in Q3 2021 focusing on personalized healthcare solutions.</w:t>
      </w:r>
    </w:p>
    <w:p/>
    <w:p>
      <w:pPr>
        <w:pStyle w:val="Heading2"/>
      </w:pPr>
      <w:r>
        <w:t>Detailed Breakdown of MediConn Solutions' Recorded Ads</w:t>
      </w:r>
    </w:p>
    <w:p/>
    <w:p>
      <w:r>
        <w:t>Our marketing department utilizes a robust tracking system to segment and categorize the recorded ads. The three most common categories include ads emphasizing cost-effectiveness, those focusing on service accessibility, and those advocating for data security. The team regularly presents their findings to our executive board for strategic decision-making.</w:t>
      </w:r>
    </w:p>
    <w:p/>
    <w:p>
      <w:pPr>
        <w:pStyle w:val="Heading2"/>
      </w:pPr>
      <w:r>
        <w:t>Conclusion</w:t>
      </w:r>
    </w:p>
    <w:p/>
    <w:p>
      <w:r>
        <w:t>Understanding our competitor's advertising strategies allows us to stay competitive and identify opportunities for growth. The data presented in this report provides valuable insights into the current advertising landscape of the virtual healthcare industry. We recommend leveraging these insights to inform and refine our marketing strategies. Continued monitoring and analysis of competitor ads will be crucial for our ongoing success.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