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Solutions Marketing Budget Forecast</w:t>
      </w:r>
    </w:p>
    <w:p/>
    <w:p>
      <w:pPr>
        <w:pStyle w:val="Heading2"/>
      </w:pPr>
      <w:r>
        <w:t>Introduction</w:t>
      </w:r>
    </w:p>
    <w:p/>
    <w:p>
      <w:r>
        <w:t>As we strive to expand our reach and further streamline our virtual healthcare services, it's essential to strategically allocate our resources. This report aims to project the anticipated increase in our marketing budget by the year 2027. It takes into account our growth trajectory, market trends, and strategic initiatives. This projection will support our decision-making as we plan for sustainable, strategic growth.</w:t>
      </w:r>
    </w:p>
    <w:p/>
    <w:p>
      <w:pPr>
        <w:pStyle w:val="Heading2"/>
      </w:pPr>
      <w:r>
        <w:t>Historical Marketing Budget Analysis</w:t>
      </w:r>
    </w:p>
    <w:p/>
    <w:p>
      <w:r>
        <w:t>In 2019, MediConn Solutions allocated 15% of its total budget towards marketing efforts, focusing largely on digital advertising. The following year, this allocation increased to 18%, reflecting a strategic shift in the company's priorities. Interestingly, this increase corresponded with a 20% boost in platform user engagement during the same period.</w:t>
      </w:r>
    </w:p>
    <w:p/>
    <w:p>
      <w:pPr>
        <w:pStyle w:val="Heading2"/>
      </w:pPr>
      <w:r>
        <w:t>Impact of Marketing on Customer Acquisition</w:t>
      </w:r>
    </w:p>
    <w:p/>
    <w:p>
      <w:r>
        <w:t>Marketing efforts have shown a considerable impact on customer acquisition rates. In 2020, a 25% increase in marketing spend resulted in a 30% rise in new customer registrations. This underscores the importance of marketing in driving user growth on our platforms.</w:t>
      </w:r>
    </w:p>
    <w:p/>
    <w:p>
      <w:pPr>
        <w:pStyle w:val="Heading2"/>
      </w:pPr>
      <w:r>
        <w:t>Projected Marketing Budget Increase by 2027</w:t>
      </w:r>
    </w:p>
    <w:p/>
    <w:p>
      <w:r>
        <w:t>MediConn Solutions' marketing strategy for the years leading up to 2027 involves diversifying its advertising platforms. A shift towards more video content, influencer partnerships, and health-focused digital communities is anticipated. Additionally, the company is exploring opportunities in emerging markets.</w:t>
      </w:r>
    </w:p>
    <w:p/>
    <w:p>
      <w:pPr>
        <w:pStyle w:val="Heading2"/>
      </w:pPr>
      <w:r>
        <w:t>Conclusion</w:t>
      </w:r>
    </w:p>
    <w:p/>
    <w:p>
      <w:r>
        <w:t>A careful analysis of our historical budgets and the effect of marketing on customer acquisition suggests a significant increase in our marketing budget by 2027. It's crucial we align our budget growth with our strategic goals and market trends. To maximize the impact of our marketing efforts, we should continually review our budget allocations. This insight will guide us in making informed decisions about our marketing investments moving forward.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