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LinkedIn Presence Evolution: 2022-2024</w:t>
      </w:r>
    </w:p>
    <w:p/>
    <w:p>
      <w:pPr>
        <w:pStyle w:val="Heading2"/>
      </w:pPr>
      <w:r>
        <w:t>Introduction</w:t>
      </w:r>
    </w:p>
    <w:p/>
    <w:p>
      <w:r>
        <w:t>This document provides an analysis of MediConn Solutions' digital footprint on LinkedIn from 2022 to 2024. It delves into our content strategy, engagement rates, and brand positioning over the said years. The insights gained will help us understand how our online presence has evolved and inform future digital strategies.</w:t>
      </w:r>
    </w:p>
    <w:p/>
    <w:p>
      <w:pPr>
        <w:pStyle w:val="Heading2"/>
      </w:pPr>
      <w:r>
        <w:t>Content Strategy and Posting Frequency</w:t>
      </w:r>
    </w:p>
    <w:p/>
    <w:p>
      <w:r>
        <w:t>In 2023, the marketing team at MediConn Solutions implemented a new content strategy that focused on promoting our remote healthcare services through infographics and video content. We increased our posting frequency by 20%, sharing valuable insights on virtual healthcare trends and patient success stories every weekday. This shift was a part of our initiative to utilize the power of visual storytelling in healthcare.</w:t>
      </w:r>
    </w:p>
    <w:p/>
    <w:p>
      <w:pPr>
        <w:pStyle w:val="Heading2"/>
      </w:pPr>
      <w:r>
        <w:t>Engagement Metrics and Audience Growth</w:t>
      </w:r>
    </w:p>
    <w:p/>
    <w:p>
      <w:r>
        <w:t>Our social media team has worked tirelessly to drive user engagement on all our platforms, not just LinkedIn. In Q3 of 2023, we noted a 15% increase in overall social media engagement rates, thanks to a series of webinars and live Q&amp;A sessions with our healthcare professionals. However, the metrics for individual platforms varied.</w:t>
      </w:r>
    </w:p>
    <w:p/>
    <w:p>
      <w:pPr>
        <w:pStyle w:val="Heading2"/>
      </w:pPr>
      <w:r>
        <w:t>Brand Positioning and Perception</w:t>
      </w:r>
    </w:p>
    <w:p/>
    <w:p>
      <w:r>
        <w:t>MediConn Solutions has positioned itself as a leader in the virtual healthcare industry. Through our innovative services, we have received positive feedback from our consumers, with 80% of our clients rating our service as excellent in 2024. Our brand perception has steadily improved due to our commitment to quality care and accessibility.</w:t>
      </w:r>
    </w:p>
    <w:p/>
    <w:p>
      <w:pPr>
        <w:pStyle w:val="Heading2"/>
      </w:pPr>
      <w:r>
        <w:t>Conclusion</w:t>
      </w:r>
    </w:p>
    <w:p/>
    <w:p>
      <w:r>
        <w:t>Over the past two years, MediConn Solutions has demonstrated a significant evolution in its LinkedIn presence. An understanding of our content strategy, engagement rates, and brand positioning provides invaluable insights into our online growth. Moving forward, we should leverage these insights to refine our digital strategy. Continued evaluation of our online presence will ensure we remain at the forefront of the digital healthcare landscape.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