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Platform Redesign Impact Analysis</w:t>
      </w:r>
    </w:p>
    <w:p/>
    <w:p>
      <w:pPr>
        <w:pStyle w:val="Heading2"/>
      </w:pPr>
      <w:r>
        <w:t>Introduction</w:t>
      </w:r>
    </w:p>
    <w:p/>
    <w:p>
      <w:r>
        <w:t>This document aims to analyze the impact of the recent platform redesign at MediConn Solutions on our ability to attract new healthcare providers. The analysis will cover various aspects of the redesign, focusing on the interaction between the new platform features and user experience. As part of the Business Development team, our objective is to ensure the platform changes contribute positively towards our strategic goal of expanding our network of healthcare professionals.</w:t>
      </w:r>
    </w:p>
    <w:p/>
    <w:p>
      <w:pPr>
        <w:pStyle w:val="Heading2"/>
      </w:pPr>
      <w:r>
        <w:t>User Experience Improvements Post Redesign</w:t>
      </w:r>
    </w:p>
    <w:p/>
    <w:p>
      <w:r>
        <w:t>Following the platform redesign in 2019, we noted a significant increase in overall user engagement. Average session duration increased by 15% and bounce rates decreased by 10%. We also observed an increase in mobile users, with a 25% uptick in mobile logins post redesign.</w:t>
      </w:r>
    </w:p>
    <w:p/>
    <w:p>
      <w:pPr>
        <w:pStyle w:val="Heading2"/>
      </w:pPr>
      <w:r>
        <w:t>Trends in Provider Registrations Post Redesign</w:t>
      </w:r>
    </w:p>
    <w:p/>
    <w:p>
      <w:r>
        <w:t>Historically, prior to the platform redesign, our major provider sign-ups came from general practitioners and internal medicine specialists. However, in 2020, we saw an increase in registrations from psychiatrists and mental health professionals. This trend aligns with the industry shift towards prioritizing mental health in remote care.</w:t>
      </w:r>
    </w:p>
    <w:p/>
    <w:p>
      <w:pPr>
        <w:pStyle w:val="Heading2"/>
      </w:pPr>
      <w:r>
        <w:t>Feedback from New Healthcare Providers</w:t>
      </w:r>
    </w:p>
    <w:p/>
    <w:p>
      <w:r>
        <w:t>New providers have praised our compliance with the Personal Information Protection and Electronic Documents Act (PIPEDA) regulations. They also appreciate the continuous updates on the latest healthcare standards and regulations available on our platform. Many providers commend our efficient provider support services.</w:t>
      </w:r>
    </w:p>
    <w:p/>
    <w:p>
      <w:pPr>
        <w:pStyle w:val="Heading2"/>
      </w:pPr>
      <w:r>
        <w:t>Conclusion</w:t>
      </w:r>
    </w:p>
    <w:p/>
    <w:p>
      <w:r>
        <w:t>The platform redesign has had a noticeable impact on the attraction of new healthcare providers. The enhanced user experience and positive feedback from new registrants indicate the redesign's success. However, continuous monitoring and feedback collection are essential to maintain this growth. The Business Development team should consider further strategies to leverage the improved platform to attract an even wider network of healthcare professionals.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