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Service Promotion Strategy Q4 2026</w:t>
      </w:r>
    </w:p>
    <w:p/>
    <w:p>
      <w:pPr>
        <w:pStyle w:val="Heading2"/>
      </w:pPr>
      <w:r>
        <w:t>Introduction</w:t>
      </w:r>
    </w:p>
    <w:p/>
    <w:p>
      <w:r>
        <w:t>As MediConn Solutions continues to innovate in the virtual healthcare landscape, there is a significant opportunity to capitalize on the growing trend of virtual visits. Given recent findings from McKinsey and Company, there is potential to convert more than 50 million in-person visits to virtual visits. This document outlines a strategic approach for the Marketing Department to promote our virtual service offerings to our current patients through Q4 2026.</w:t>
      </w:r>
    </w:p>
    <w:p/>
    <w:p>
      <w:pPr>
        <w:pStyle w:val="Heading2"/>
      </w:pPr>
      <w:r>
        <w:t>Current Patient Engagement and Satisfaction</w:t>
      </w:r>
    </w:p>
    <w:p/>
    <w:p>
      <w:r>
        <w:t>Between the years 2019 and 2023, MediConn Solutions has implemented strategic changes that have resulted in a substantial decrease in the average wait times for virtual consultations. The efforts put in by our dedicated team have resulted in a reduction of 43% in wait times. This has not only significantly enhanced the patient experience but also made our virtual healthcare services more efficient and accessible. The efficiency of our digital platforms has been instrumental in reaching this milestone, further substantiating our commitment to providing quick and quality healthcare services.</w:t>
      </w:r>
    </w:p>
    <w:p/>
    <w:p>
      <w:pPr>
        <w:pStyle w:val="Heading2"/>
      </w:pPr>
      <w:r>
        <w:t>Virtual Service Adoption Trends and Forecasts</w:t>
      </w:r>
    </w:p>
    <w:p/>
    <w:p>
      <w:r>
        <w:t>The virtual healthcare industry saw a 12% adoption rate increase in 2025, with a forecasted growth of 15% in 2026. The trend is driven by the growing demand for remote healthcare services, particularly in rural and underserved areas. The expansion of high-speed internet access contributes to this upward trend.</w:t>
      </w:r>
    </w:p>
    <w:p/>
    <w:p>
      <w:pPr>
        <w:pStyle w:val="Heading2"/>
      </w:pPr>
      <w:r>
        <w:t>Strategic Marketing Initiatives for Virtual Services</w:t>
      </w:r>
    </w:p>
    <w:p/>
    <w:p>
      <w:r>
        <w:t>In 2025, MediConn Solutions launched a comprehensive marketing campaign to raise awareness about our virtual services. The campaign included digital advertising, social media promotion, and direct email marketing. As a result, the campaign reached over 1 million people and increased website traffic by 20%.</w:t>
      </w:r>
    </w:p>
    <w:p/>
    <w:p>
      <w:pPr>
        <w:pStyle w:val="Heading2"/>
      </w:pPr>
      <w:r>
        <w:t>Conclusion</w:t>
      </w:r>
    </w:p>
    <w:p/>
    <w:p>
      <w:r>
        <w:t>By understanding our current patient engagement levels and satisfaction, alongside virtual service adoption trends, we can align our marketing initiatives to effectively promote our virtual services. Our strategic approach should be data-driven, patient-centric, and adaptable to the evolving healthcare landscape. This will ensure MediConn Solutions remains a leader in virtual healthcare, providing accessible and cost-effective care for patients across Canada. Further discussions will be made to finalize the marketing initiatives for the upcoming quarters.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