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System Backup Measures: July 2025 Analysis</w:t>
      </w:r>
    </w:p>
    <w:p/>
    <w:p>
      <w:pPr>
        <w:pStyle w:val="Heading2"/>
      </w:pPr>
      <w:r>
        <w:t>Introduction</w:t>
      </w:r>
    </w:p>
    <w:p/>
    <w:p>
      <w:r>
        <w:t>As MediConn Solutions continues to expand its digital horizon in the virtual healthcare landscape, it becomes crucial to ensure the integrity and availability of our data. This report provides an overview of the system backup measures we piloted in July 2025. It covers the technical aspects of the solution, the operational considerations involved, and the potential impact on our customer service delivery.</w:t>
      </w:r>
    </w:p>
    <w:p/>
    <w:p>
      <w:pPr>
        <w:pStyle w:val="Heading2"/>
      </w:pPr>
      <w:r>
        <w:t>Technical Specifications of the Backup Solution</w:t>
      </w:r>
    </w:p>
    <w:p/>
    <w:p>
      <w:r>
        <w:t>Our backup solution boasts a robust architecture, employing distributed storage across various data centers. It also leverages the power of cloud computing to provide high redundancy and availability. The system is designed to be scalable and adapt to the growing needs of our virtual healthcare services, further ensuring our commitment to uninterrupted, quality patient care.</w:t>
      </w:r>
    </w:p>
    <w:p/>
    <w:p>
      <w:pPr>
        <w:pStyle w:val="Heading2"/>
      </w:pPr>
      <w:r>
        <w:t>Operational Impact and Staff Training Needs</w:t>
      </w:r>
    </w:p>
    <w:p/>
    <w:p>
      <w:r>
        <w:t>The deployment of our backup solution has necessitated an upgrade in our staff's technical proficiency. To this end, we've implemented comprehensive training programs across all departments since January 2025, focusing on the operational aspects of the backup system. The program has been successful with a 95% completion rate.</w:t>
      </w:r>
    </w:p>
    <w:p/>
    <w:p>
      <w:pPr>
        <w:pStyle w:val="Heading2"/>
      </w:pPr>
      <w:r>
        <w:t>Customer Service Continuity During Implementation</w:t>
      </w:r>
    </w:p>
    <w:p/>
    <w:p>
      <w:r>
        <w:t>During the implementation phases of any new system, we prioritize maintaining our high standard of customer service. In the last quarter of 2025, we observed an increase of 10% in customer satisfaction ratings. This can be attributed to our team's seamless adaptability to changes and their commitment to providing uninterrupted services.</w:t>
      </w:r>
    </w:p>
    <w:p/>
    <w:p>
      <w:pPr>
        <w:pStyle w:val="Heading2"/>
      </w:pPr>
      <w:r>
        <w:t>Conclusion</w:t>
      </w:r>
    </w:p>
    <w:p/>
    <w:p>
      <w:r>
        <w:t>The backup measures piloted in July 2025 have proven to be robust, offering enhanced data security. However, sufficient staff training and customer service continuity planning are crucial for seamless adoption. Going forward, we recommend conducting regular system audits to ensure the continuing effectiveness of the backup solution. Further, we advise exploring advanced data management strategies to stay ahead in the digital healthcare market.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