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Department's Employee Engagement Initiatives</w:t>
      </w:r>
    </w:p>
    <w:p/>
    <w:p>
      <w:pPr>
        <w:pStyle w:val="Heading2"/>
      </w:pPr>
      <w:r>
        <w:t>Introduction</w:t>
      </w:r>
    </w:p>
    <w:p/>
    <w:p>
      <w:r>
        <w:t>This document aims to provide an overview of the initiatives undertaken by MediConn Solutions' IT department to foster a positive work environment and boost morale among employees. As we continue to navigate a primarily remote work setup, these initiatives play a vital role in maintaining productivity and promoting a robust company culture. The content herein will cover both the cultural and technical aspects of these initiatives.</w:t>
      </w:r>
    </w:p>
    <w:p/>
    <w:p>
      <w:pPr>
        <w:pStyle w:val="Heading2"/>
      </w:pPr>
      <w:r>
        <w:t>Improving Virtual Communication Channels</w:t>
      </w:r>
    </w:p>
    <w:p/>
    <w:p>
      <w:r>
        <w:t>In 2024, the IT department at MediConn Solutions implemented an upgrade to our virtual communication platforms, enhancing the stability and security of our online interactions. This update led to a 20% increase in daily usage, reflecting improved user satisfaction. The upgrade also facilitated seamless interactions between various departments, improving overall organizational efficiency.</w:t>
      </w:r>
    </w:p>
    <w:p/>
    <w:p>
      <w:pPr>
        <w:pStyle w:val="Heading2"/>
      </w:pPr>
      <w:r>
        <w:t>Fostering Inclusive Online Work Culture</w:t>
      </w:r>
    </w:p>
    <w:p/>
    <w:p>
      <w:r>
        <w:t>MediConn Solutions is committed to promoting inclusivity within our virtual workspace. In 2023, we introduced a series of diversity and inclusion training sessions for all employees. The feedback we received was overwhelmingly positive, with over 95% of participants stating that the training had a positive impact on their perceptions and interactions with their colleagues.</w:t>
      </w:r>
    </w:p>
    <w:p/>
    <w:p>
      <w:pPr>
        <w:pStyle w:val="Heading2"/>
      </w:pPr>
      <w:r>
        <w:t>Organizing Interactive Cultural Events</w:t>
      </w:r>
    </w:p>
    <w:p/>
    <w:p>
      <w:r>
        <w:t>MediConn Solutions regularly organizes cultural events to promote team unity and employee engagement. In 2022, we hosted a virtual global food festival, where employees showcased their culinary skills and shared recipes from their cultural backgrounds. It led to a 30% increase in employee participation compared to previous years.</w:t>
      </w:r>
    </w:p>
    <w:p/>
    <w:p>
      <w:pPr>
        <w:pStyle w:val="Heading2"/>
      </w:pPr>
      <w:r>
        <w:t>Conclusion</w:t>
      </w:r>
    </w:p>
    <w:p/>
    <w:p>
      <w:r>
        <w:t>The IT department's initiatives have significantly contributed to maintaining high morale and a positive work culture at MediConn Solutions. The successful organization of cultural events, in particular, has fostered a sense of community and inclusivity among employees. As we move forward, we will continue to innovate and implement strategies that promote employee engagement and satisfaction. Feedback and suggestions for future initiatives are always welcomed and appreciated.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