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Device Compliance Report - September 2025</w:t>
      </w:r>
    </w:p>
    <w:p/>
    <w:p>
      <w:pPr>
        <w:pStyle w:val="Heading2"/>
      </w:pPr>
      <w:r>
        <w:t>Introduction</w:t>
      </w:r>
    </w:p>
    <w:p/>
    <w:p>
      <w:r>
        <w:t>This document presents an analysis of device compliance across the MediConn Solutions team for the month of September 2025. It focuses on whether employees have updated their operating systems in line with our cybersecurity requirements. This is crucial for maintaining the security and integrity of our virtual healthcare services, given the sensitive nature of the data we handle.</w:t>
      </w:r>
    </w:p>
    <w:p/>
    <w:p>
      <w:pPr>
        <w:pStyle w:val="Heading2"/>
      </w:pPr>
      <w:r>
        <w:t>Overview of Employee Device Compliance</w:t>
      </w:r>
    </w:p>
    <w:p/>
    <w:p>
      <w:r>
        <w:t>As of October 2025, 87% of MediConn Solutions' staff members are compliant with regulatory requirements pertaining to their devices' usage. The remaining 13% are under active review by our IT department to ensure conformity. The company has established a regular quarterly audit to monitor and enhance employee device compliance.</w:t>
      </w:r>
    </w:p>
    <w:p/>
    <w:p>
      <w:pPr>
        <w:pStyle w:val="Heading2"/>
      </w:pPr>
      <w:r>
        <w:t>Breakdown of Operating System Updates</w:t>
      </w:r>
    </w:p>
    <w:p/>
    <w:p>
      <w:r>
        <w:t>In Q1 2025, Windows-based devices accounted for 65% of all operating system updates, with MacOS devices making up the remaining 35%. The IT department has identified a consistent trend of more frequent updates required for Windows devices when compared to MacOS devices.</w:t>
      </w:r>
    </w:p>
    <w:p/>
    <w:p>
      <w:pPr>
        <w:pStyle w:val="Heading2"/>
      </w:pPr>
      <w:r>
        <w:t>Impact of Non-Compliance on Cybersecurity</w:t>
      </w:r>
    </w:p>
    <w:p/>
    <w:p>
      <w:r>
        <w:t>In 2024, non-compliant devices contributed to 15% of all cybersecurity incidents at MediConn Solutions. This highlights the significant risk posed by non-compliance, prompting the company to establish stricter device compliance policies and procedures.</w:t>
      </w:r>
    </w:p>
    <w:p/>
    <w:p>
      <w:pPr>
        <w:pStyle w:val="Heading2"/>
      </w:pPr>
      <w:r>
        <w:t>Conclusion</w:t>
      </w:r>
    </w:p>
    <w:p/>
    <w:p>
      <w:r>
        <w:t>In conclusion, a significant proportion of MediConn staff have updated their operating systems in September 2025. However, there are still areas for improvement to ensure total compliance. Non-compliance poses a risk to our cybersecurity and, by extension, our patients' data. Therefore, we must prioritize communication of the importance of regular updates to all staff.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