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Wellness Program Analysis Report 2024</w:t>
      </w:r>
    </w:p>
    <w:p/>
    <w:p>
      <w:pPr>
        <w:pStyle w:val="Heading2"/>
      </w:pPr>
      <w:r>
        <w:t>Introduction</w:t>
      </w:r>
    </w:p>
    <w:p/>
    <w:p>
      <w:r>
        <w:t>As part of MediConn Solutions' ongoing commitment to our virtual healthcare services, this report provides analysis of our wellness initiatives for 2024. The overview details the number, reach, and impact of the programs we launched. The document aims to evaluate our performance and guide future strategies in our mission to offer accessible and cost-effective care across Canada.</w:t>
      </w:r>
    </w:p>
    <w:p/>
    <w:p>
      <w:pPr>
        <w:pStyle w:val="Heading2"/>
      </w:pPr>
      <w:r>
        <w:t>Overview of Wellness Initiatives</w:t>
      </w:r>
    </w:p>
    <w:p/>
    <w:p>
      <w:r>
        <w:t>Since its inception, MediConn Solutions has always prioritized employee wellness. In 2023, we introduced a comprehensive digital wellness platform that offers fitness, mental health, and nutrition resources. The platform was well-received by our team, with 80% of employees actively engaging with the resources within the first six months.</w:t>
      </w:r>
    </w:p>
    <w:p/>
    <w:p>
      <w:pPr>
        <w:pStyle w:val="Heading2"/>
      </w:pPr>
      <w:r>
        <w:t>Impact Assessment of Launched Programs</w:t>
      </w:r>
    </w:p>
    <w:p/>
    <w:p>
      <w:r>
        <w:t>MediConn Solutions continuously evaluates the impact of our wellness programs. In 2023, a third-party survey indicated a 15% increase in employee satisfaction and a 20% decrease in stress levels amongst employees utilizing our wellness resources regularly. We believe in making data-driven decisions to enhance our programs further.</w:t>
      </w:r>
    </w:p>
    <w:p/>
    <w:p>
      <w:pPr>
        <w:pStyle w:val="Heading2"/>
      </w:pPr>
      <w:r>
        <w:t>Future Strategies for Wellness Programs</w:t>
      </w:r>
    </w:p>
    <w:p/>
    <w:p>
      <w:r>
        <w:t>Moving forward, MediConn Solutions plans to expand our wellness initiatives to include more personalized, AI-driven wellness tools. We aim to launch these new initiatives in the first quarter of 2025, and we anticipate that they will further improve employee satisfaction and overall wellness.</w:t>
      </w:r>
    </w:p>
    <w:p/>
    <w:p>
      <w:pPr>
        <w:pStyle w:val="Heading2"/>
      </w:pPr>
      <w:r>
        <w:t>Conclusion</w:t>
      </w:r>
    </w:p>
    <w:p/>
    <w:p>
      <w:r>
        <w:t>MediConn Solutions' wellness initiatives for 2024 have shown significant potential for improving the health and wellness of our clients. An in-depth analysis of these programs indicates areas for improvement and growth. Moving forward, we will utilize these insights to refine our strategies and continue our commitment to providing quality virtual healthcare services. Stakeholders are encouraged to review these insights and contribute to our planning for future wellness programs.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