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Virtual Mental Health Consultation Analysis</w:t>
      </w:r>
    </w:p>
    <w:p/>
    <w:p>
      <w:pPr>
        <w:pStyle w:val="Heading2"/>
      </w:pPr>
      <w:r>
        <w:t>Introduction</w:t>
      </w:r>
    </w:p>
    <w:p/>
    <w:p>
      <w:r>
        <w:t>To continuously improve the efficiency and effectiveness of our virtual mental health consultations, it is crucial to understand the average session duration. This comprehensive analysis provides insights into the duration of consultations and its correlation with other key metrics. The data gathered will be instrumental in identifying trends, informing decisions, and planning for future enhancements to our services.</w:t>
      </w:r>
    </w:p>
    <w:p/>
    <w:p>
      <w:pPr>
        <w:pStyle w:val="Heading2"/>
      </w:pPr>
      <w:r>
        <w:t>Analysis of Consultation Duration Trends</w:t>
      </w:r>
    </w:p>
    <w:p/>
    <w:p>
      <w:r>
        <w:t>In the past five years, MediConn Solutions has seen a steady increase in the number of virtual consultations conducted. As of 2023, we have conducted an average of 300 consultations per day, a 20% increase from 2018. This growth is attributed to the increased accessibility of our platform and the continuous enhancements to our service offerings.</w:t>
      </w:r>
    </w:p>
    <w:p/>
    <w:p>
      <w:pPr>
        <w:pStyle w:val="Heading2"/>
      </w:pPr>
      <w:r>
        <w:t>Patient Satisfaction Relative to Session Duration</w:t>
      </w:r>
    </w:p>
    <w:p/>
    <w:p>
      <w:r>
        <w:t>Our 2023 patient satisfaction survey revealed that 85% of patients reported high satisfaction levels with the overall experience of our virtual consultations. The survey, however, did not delve into the correlation between session duration and satisfaction, focusing instead on the quality of care, ease of use, and the professionalism of our healthcare providers.</w:t>
      </w:r>
    </w:p>
    <w:p/>
    <w:p>
      <w:pPr>
        <w:pStyle w:val="Heading2"/>
      </w:pPr>
      <w:r>
        <w:t>Effect of Session Duration on Healthcare Professional Efficiency</w:t>
      </w:r>
    </w:p>
    <w:p/>
    <w:p>
      <w:r>
        <w:t>The efficiency of our healthcare professionals is a key area of focus at MediConn Solutions. In 2022, we implemented a time management training program for our professionals, which resulted in a 15% increase in their overall efficiency. We continue to invest in such programs to ensure optimal service delivery.</w:t>
      </w:r>
    </w:p>
    <w:p/>
    <w:p>
      <w:pPr>
        <w:pStyle w:val="Heading2"/>
      </w:pPr>
      <w:r>
        <w:t>Conclusion</w:t>
      </w:r>
    </w:p>
    <w:p/>
    <w:p>
      <w:r>
        <w:t>This analysis offers valuable insights into the average duration of our virtual mental health consultations and its impact on patient satisfaction and professional efficiency. These findings will inform our strategies for enhancing service delivery and patient experience. We recommend a thorough review of these insights and consider them during strategic planning and process improvement initiatives. Let's continue to leverage data to provide accessible, cost-effective care.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