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Enhancing ITSM Security and Compliance Strategy</w:t>
      </w:r>
    </w:p>
    <w:p/>
    <w:p>
      <w:pPr>
        <w:pStyle w:val="Heading2"/>
      </w:pPr>
      <w:r>
        <w:t>Introduction</w:t>
      </w:r>
    </w:p>
    <w:p/>
    <w:p>
      <w:r>
        <w:t>As MediConn Solutions continues to grow, the secure and compliant management of electronic medical data remains a top priority. This document outlines our strategic approach to managing security protocols, regulatory compliance, and preventive measures against network and information system security risks over the next four years. It serves to guide the ITSM team's efforts in ensuring the integrity of our virtual healthcare services while maintaining the trust of our customers and employees.</w:t>
      </w:r>
    </w:p>
    <w:p/>
    <w:p>
      <w:pPr>
        <w:pStyle w:val="Heading2"/>
      </w:pPr>
      <w:r>
        <w:t>Evolution of IT Security Protocols</w:t>
      </w:r>
    </w:p>
    <w:p/>
    <w:p>
      <w:r>
        <w:t>The evolution of IT security protocols at MediConn Solutions has been marked by significant advancements, particularly in the realm of predictive analysis via AI-powered IT Service Management (ITSM). Through our strategic application of these tools, the ITSM team was able to pre-emptively thwart nearly half of the potential IT incidents in the past year. Specifically, our 2024 IT audit revealed that predictive analysis methods had successfully mitigated 45% of IT issues that could have impacted our digital healthcare services. These results underscore the effectiveness and necessity of investing in advanced ITSM solutions as we continue to prioritize data security and regulatory compliance in our commitment to providing secure, quality healthcare services.</w:t>
      </w:r>
    </w:p>
    <w:p/>
    <w:p>
      <w:pPr>
        <w:pStyle w:val="Heading2"/>
      </w:pPr>
      <w:r>
        <w:t>Regulatory Compliance in Virtual Healthcare</w:t>
      </w:r>
    </w:p>
    <w:p/>
    <w:p>
      <w:r>
        <w:t>Virtual healthcare providers are required to comply with a variety of regulations. In Canada, these include the Personal Health Information Protection Act (PHIPA) and the Personal Information Protection and Electronic Documents Act (PIPEDA). Non-compliance can lead to severe penalties, including fines of up to $100,000 per violation. In 2019, MediConn's compliance team successfully navigated an audit stress test, reaffirming our commitment to meet and exceed these regulatory standards.</w:t>
      </w:r>
    </w:p>
    <w:p/>
    <w:p>
      <w:pPr>
        <w:pStyle w:val="Heading2"/>
      </w:pPr>
      <w:r>
        <w:t>Preventive Measures Against Security Risks</w:t>
      </w:r>
    </w:p>
    <w:p/>
    <w:p>
      <w:r>
        <w:t>As of December 2024, MediConn has invested in robust intrusion detection systems (IDS) and intrusion prevention systems (IPS) to enhance our security posture. In addition, we've made it a priority to regularly conduct internal security audits and employee training programs. These proactive measures have helped us maintain a security incident-free track record for the past 18 months, with zero data breaches reported.</w:t>
      </w:r>
    </w:p>
    <w:p/>
    <w:p>
      <w:pPr>
        <w:pStyle w:val="Heading2"/>
      </w:pPr>
      <w:r>
        <w:t>Conclusion</w:t>
      </w:r>
    </w:p>
    <w:p/>
    <w:p>
      <w:r>
        <w:t>By adopting robust security protocols, staying abreast of regulatory changes, and implementing preventive measures, we can ensure the secure management of sensitive electronic medical data. This proactive approach will not only safeguard our organization but also enhance the trust and confidence of our customers. Our next steps will be to refine these strategies, engage relevant stakeholders for input, and begin implementation as Q3 2025 approaches.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