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Service Management: Compliance and Security</w:t>
      </w:r>
    </w:p>
    <w:p/>
    <w:p>
      <w:pPr>
        <w:pStyle w:val="Heading2"/>
      </w:pPr>
      <w:r>
        <w:t>Introduction</w:t>
      </w:r>
    </w:p>
    <w:p/>
    <w:p>
      <w:r>
        <w:t>This document presents a strategic overview of our IT Service Management's security and compliance initiatives. As MediConn Solutions continues to lead in the virtual healthcare industry, our responsibility to protect sensitive electronic medical data increases. Our goal is to identify, address, and prevent potential security risks and ensure regulatory compliance by Q3 2025.</w:t>
      </w:r>
    </w:p>
    <w:p/>
    <w:p>
      <w:pPr>
        <w:pStyle w:val="Heading2"/>
      </w:pPr>
      <w:r>
        <w:t>Evolving IT Security Landscape and Challenges</w:t>
      </w:r>
    </w:p>
    <w:p/>
    <w:p>
      <w:r>
        <w:t>In the landscape of evolving IT security, MediConn Solutions has made substantial strides in automating its IT tasks. In 2024 alone, we managed to automate an impressive number of tasks, around 5,000 to be exact, which contributed to a significant 30% boost in the efficiency of our IT service desk. This heightened efficiency, driven by the innovative use of ITSM tools, is a testament to our commitment to continuous process improvement and has positioned us favorably to confront the ongoing challenges in maintaining the security and privacy of sensitive electronic medical data.</w:t>
      </w:r>
    </w:p>
    <w:p/>
    <w:p>
      <w:pPr>
        <w:pStyle w:val="Heading2"/>
      </w:pPr>
      <w:r>
        <w:t>Regulatory Compliance and Data Protection Measures</w:t>
      </w:r>
    </w:p>
    <w:p/>
    <w:p>
      <w:r>
        <w:t>As of Q1 2025, we've been working on aligning with the new regulations under the Personal Health Information Protection Act (PHIPA). The IT Operations team collaborates with the Legal department to understand and implement the necessary data protection measures. Our aim is to maintain the highest level of patient data protection and confidentiality.</w:t>
      </w:r>
    </w:p>
    <w:p/>
    <w:p>
      <w:pPr>
        <w:pStyle w:val="Heading2"/>
      </w:pPr>
      <w:r>
        <w:t>Proactive Risk Management and Incident Response Plan</w:t>
      </w:r>
    </w:p>
    <w:p/>
    <w:p>
      <w:r>
        <w:t>In 2024, we implemented an improved incident response plan that reduced system downtime by 20%. Our IT team conducts regular system vulnerability assessments to identify and mitigate potential IT risks. We are also exploring third-party cybersecurity partnerships to strengthen our risk management efforts.</w:t>
      </w:r>
    </w:p>
    <w:p/>
    <w:p>
      <w:pPr>
        <w:pStyle w:val="Heading2"/>
      </w:pPr>
      <w:r>
        <w:t>Conclusion</w:t>
      </w:r>
    </w:p>
    <w:p/>
    <w:p>
      <w:r>
        <w:t>By understanding the evolving IT security landscape, staying compliant with regulations, and implementing proactive risk management, we can safeguard MediConn Solutions from potential threats. These measures will strengthen our overall security posture, ensuring the privacy and integrity of our electronic medical data. The next steps involve detailing these strategies and seeking feedback from stakeholders before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