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ITSM Security &amp; Compliance Strategy 2025</w:t>
      </w:r>
    </w:p>
    <w:p/>
    <w:p>
      <w:pPr>
        <w:pStyle w:val="Heading2"/>
      </w:pPr>
      <w:r>
        <w:t>Introduction</w:t>
      </w:r>
    </w:p>
    <w:p/>
    <w:p>
      <w:r>
        <w:t>As MediConn Solutions continues to excel in the virtual healthcare industry, the protection of sensitive electronic medical data remains a top priority. This document outlines our proposed strategy for the IT Service Management (ITSM) team to effectively manage security protocols, ensure regulatory compliance, and mitigate network and system security risks through 2025. The strategy is designed to align with our company's commitment to accessible, secure, and compliant healthcare services, and to support our ongoing growth.</w:t>
      </w:r>
    </w:p>
    <w:p/>
    <w:p>
      <w:pPr>
        <w:pStyle w:val="Heading2"/>
      </w:pPr>
      <w:r>
        <w:t>Future Trends in Regulatory Compliance</w:t>
      </w:r>
    </w:p>
    <w:p/>
    <w:p>
      <w:r>
        <w:t>Compliance regulations are expected to become more stringent in the future. By 2027, it is predicted that 90% of healthcare organizations will need to adhere to new data localization laws, ensuring that patient information is stored within the country of origin. Additionally, the advent of quantum computing poses new challenges, requiring 60% of healthcare organizations to upgrade their cybersecurity measures by 2030.</w:t>
      </w:r>
    </w:p>
    <w:p/>
    <w:p>
      <w:pPr>
        <w:pStyle w:val="Heading2"/>
      </w:pPr>
      <w:r>
        <w:t>Proactive Measures for Network Security Risks</w:t>
      </w:r>
    </w:p>
    <w:p/>
    <w:p>
      <w:r>
        <w:t>In recent years, the healthcare industry has seen a shift towards proactive network security measures. In 2024, it was reported that 80% of healthcare organizations had adopted advanced threat detection systems, up from 50% in 2020. Moreover, regular network audits have become increasingly prevalent, with 65% of organizations conducting them quarterly as of 2023.</w:t>
      </w:r>
    </w:p>
    <w:p/>
    <w:p>
      <w:pPr>
        <w:pStyle w:val="Heading2"/>
      </w:pPr>
      <w:r>
        <w:t>Evolution of Security Protocols in Virtual Healthcare</w:t>
      </w:r>
    </w:p>
    <w:p/>
    <w:p>
      <w:r>
        <w:t>In the pursuit of fortifying our virtual health infrastructure, the second quarter of 2025 witnessed MediConn Solutions dedicating a significant portion of the IT department's budget towards the enhancement of our IT Service Management (ITSM) tools and the integration of artificial intelligence (AI). A financial commitment of roughly one quarter of the total IT operations budget was made, underscoring our commitment to data security and regulatory compliance in an increasingly digitized healthcare environment. This investment is not only aimed at maintaining our existing ITSM solutions but also in harnessing the predictive power of AI to preemptively mitigate IT risks. Our goal is to create a secure, efficient, and robust IT ecosystem that ensures the privacy of sensitive medical data is uncompromised.</w:t>
      </w:r>
    </w:p>
    <w:p/>
    <w:p>
      <w:pPr>
        <w:pStyle w:val="Heading2"/>
      </w:pPr>
      <w:r>
        <w:t>Conclusion</w:t>
      </w:r>
    </w:p>
    <w:p/>
    <w:p>
      <w:r>
        <w:t>Our robust ITSM security and compliance strategy aims to keep MediConn Solutions at the forefront of secure virtual healthcare. By staying abreast of evolving security protocols, anticipating regulatory changes, and implementing proactive network security measures, we can continue to provide our patients and business partners with the utmost confidence in our services. The next step is to facilitate cross-departmental discussions to align our strategy with business objectives. Your feedback and support are crucial in this process.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