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IT Security &amp; Regulatory Compliance Strategy 2025</w:t>
      </w:r>
    </w:p>
    <w:p/>
    <w:p>
      <w:pPr>
        <w:pStyle w:val="Heading2"/>
      </w:pPr>
      <w:r>
        <w:t>Introduction</w:t>
      </w:r>
    </w:p>
    <w:p/>
    <w:p>
      <w:r>
        <w:t>As part of our ongoing commitment to fortify MediConn Solutions' virtual healthcare services, this strategic document outlines a progressive approach towards enhancing security protocols and ensuring regulatory compliance by Q3 2025. The focus is on mitigating network and information system security risks, especially given the sensitivity of electronic medical data. This initiative is key to strengthening the trust of our users and improving the overall IT service experience for our employees and customers.</w:t>
      </w:r>
    </w:p>
    <w:p/>
    <w:p>
      <w:pPr>
        <w:pStyle w:val="Heading2"/>
      </w:pPr>
      <w:r>
        <w:t>Data Privacy Regulations and Compliance Measures</w:t>
      </w:r>
    </w:p>
    <w:p/>
    <w:p>
      <w:r>
        <w:t>MediConn Solutions has always prioritized meeting regulatory standards. In 2023, we completed a full audit of our data privacy practices and made necessary adjustments to ensure compliance with the updated Health Insurance Portability and Accountability Act (HIPAA) standards. We also established a quarterly review process to stay abreast of any changes in the regulatory landscape.</w:t>
      </w:r>
    </w:p>
    <w:p/>
    <w:p>
      <w:pPr>
        <w:pStyle w:val="Heading2"/>
      </w:pPr>
      <w:r>
        <w:t>Preventive Strategies for Information System Security</w:t>
      </w:r>
    </w:p>
    <w:p/>
    <w:p>
      <w:r>
        <w:t>In 2024, we introduced a mandatory IT security training program for all MediConn Solutions employees. The training includes best practices for identifying potential threats and how to report them to the IT department. The IT team also conducts regular system checks to identify and address any vulnerabilities in our network.</w:t>
      </w:r>
    </w:p>
    <w:p/>
    <w:p>
      <w:pPr>
        <w:pStyle w:val="Heading2"/>
      </w:pPr>
      <w:r>
        <w:t>Review of Current IT Security Infrastructure</w:t>
      </w:r>
    </w:p>
    <w:p/>
    <w:p>
      <w:r>
        <w:t>Our Q4 2024 records demonstrate the efficacy of our IT Service Management (ITSM) strategies, as noted in the significant improvement in our system's stability. We have seen a substantial decrease in unplanned service interruptions, with the frequency dropping by nearly one-third. This significant progress underscores the effectiveness of stringent management processes fostered by ITSM, aligning with our ultimate goal of ensuring seamless virtual healthcare delivery. As we continue to leverage this progressive approach, we anticipate a further enhancement in our IT infrastructure resilience, critical in securing sensitive medical data.</w:t>
      </w:r>
    </w:p>
    <w:p/>
    <w:p>
      <w:pPr>
        <w:pStyle w:val="Heading2"/>
      </w:pPr>
      <w:r>
        <w:t>Conclusion</w:t>
      </w:r>
    </w:p>
    <w:p/>
    <w:p>
      <w:r>
        <w:t>Adopting a proactive IT security strategy and ensuring regulatory compliance are imperative to the continued success of MediConn Solutions. The proposed measures aim not only to protect sensitive electronic medical data but also to enhance the overall reliability of our digital platforms. As we move forward, it is imperative to continue evaluating our protocols and adjusting as necessary in response to evolving IT security threats and regulatory changes.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