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MediConn 2025 Customer Service Analysis</w:t>
      </w:r>
    </w:p>
    <w:p/>
    <w:p>
      <w:pPr>
        <w:pStyle w:val="Heading2"/>
      </w:pPr>
      <w:r>
        <w:t>Introduction</w:t>
      </w:r>
    </w:p>
    <w:p/>
    <w:p>
      <w:r>
        <w:t>This document provides an overview of the customer service operations at MediConn Solutions in 2025. It aims to shed light on key metrics, such as call durations, to help us understand our efficiency and effectiveness in customer service. The findings from this report can be instrumental in shaping our strategies for customer engagement and satisfaction.</w:t>
      </w:r>
    </w:p>
    <w:p/>
    <w:p>
      <w:pPr>
        <w:pStyle w:val="Heading2"/>
      </w:pPr>
      <w:r>
        <w:t>Customer Service Operational Metrics</w:t>
      </w:r>
    </w:p>
    <w:p/>
    <w:p>
      <w:r>
        <w:t>In Q2 of 2025, our customer service team successfully resolved 82% of the calls on the first contact. The average handle time, which includes hold and talk time, was around 12 minutes. Our abandonment rate, i.e., customers who hang up before reaching a representative, was approximately 6.5%.</w:t>
      </w:r>
    </w:p>
    <w:p/>
    <w:p>
      <w:pPr>
        <w:pStyle w:val="Heading2"/>
      </w:pPr>
      <w:r>
        <w:t>Call Duration Insights and Trends</w:t>
      </w:r>
    </w:p>
    <w:p/>
    <w:p>
      <w:r>
        <w:t>During 2025, we saw a notable shift in call reasons, with a 30% increase in calls related to technical issues. This trend coincides with the introduction of our new digital platform in late 2024. However, we've seen a decrease in billing-related calls by 18% over the same period.</w:t>
      </w:r>
    </w:p>
    <w:p/>
    <w:p>
      <w:pPr>
        <w:pStyle w:val="Heading2"/>
      </w:pPr>
      <w:r>
        <w:t>Implications for Customer Satisfaction</w:t>
      </w:r>
    </w:p>
    <w:p/>
    <w:p>
      <w:r>
        <w:t>In 2025, our customer satisfaction score averaged at 78%, a 4% increase from the previous year. We attribute this improvement to our ongoing training programs and the continuous refinement of our digital platforms. Additionally, the Net Promoter Score (NPS) improved by 5 points over the year.</w:t>
      </w:r>
    </w:p>
    <w:p/>
    <w:p>
      <w:pPr>
        <w:pStyle w:val="Heading2"/>
      </w:pPr>
      <w:r>
        <w:t>Conclusion</w:t>
      </w:r>
    </w:p>
    <w:p/>
    <w:p>
      <w:r>
        <w:t>The analysis of our customer service operations in 2025 provides valuable insights into our performance and customer satisfaction levels. The metrics suggest areas where we can improve our efficiency and enhance customer experience. It's recommended that we leverage these insights to refine our customer service strategies and operations. Continuous monitoring and analysis should be maintained for constant improvement.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