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Customer Service Call Metrics</w:t>
      </w:r>
    </w:p>
    <w:p/>
    <w:p>
      <w:pPr>
        <w:pStyle w:val="Heading2"/>
      </w:pPr>
      <w:r>
        <w:t>Introduction</w:t>
      </w:r>
    </w:p>
    <w:p/>
    <w:p>
      <w:r>
        <w:t>This report provides an in-depth review of the customer service department at MediConn Solutions for the year 2025. The focus is on the total monthly call volume, with particular emphasis on Rachel's team. The data presented will provide insights on team efficiency and overall customer engagement.</w:t>
      </w:r>
    </w:p>
    <w:p/>
    <w:p>
      <w:pPr>
        <w:pStyle w:val="Heading2"/>
      </w:pPr>
      <w:r>
        <w:t>Analysis of Overall Call Volume</w:t>
      </w:r>
    </w:p>
    <w:p/>
    <w:p>
      <w:r>
        <w:t>In the past year, MediConn Solutions has seen a 15% increase in overall call volume. This surge is primarily attributed to the onset of the global pandemic, which necessitated a shift towards remote healthcare services. Notably, our TeleHealth division handled over 100,000 calls related to non-emergency consultations during the first quarter of 2021.</w:t>
      </w:r>
    </w:p>
    <w:p/>
    <w:p>
      <w:pPr>
        <w:pStyle w:val="Heading2"/>
      </w:pPr>
      <w:r>
        <w:t>Performance Metrics of Rachel's Team</w:t>
      </w:r>
    </w:p>
    <w:p/>
    <w:p>
      <w:r>
        <w:t>Rachel's team has consistently maintained high performance metrics across various parameters. Their average call response time has been under 2 minutes, with a record low of 1.5 minutes in February 2021. In addition, their customer satisfaction scores have consistently been above 90% throughout the last fiscal year.</w:t>
      </w:r>
    </w:p>
    <w:p/>
    <w:p>
      <w:pPr>
        <w:pStyle w:val="Heading2"/>
      </w:pPr>
      <w:r>
        <w:t>Customer Service Team Staffing Levels</w:t>
      </w:r>
    </w:p>
    <w:p/>
    <w:p>
      <w:r>
        <w:t>Currently, MediConn Solutions' customer service department comprises 50 full-time employees and 15 part-time staff members. The department has a relatively low turnover rate with an average tenure of 3.5 years for full-time employees. Our staffing strategy focuses on maintaining a healthy balance between experienced and fresh talent.</w:t>
      </w:r>
    </w:p>
    <w:p/>
    <w:p>
      <w:pPr>
        <w:pStyle w:val="Heading2"/>
      </w:pPr>
      <w:r>
        <w:t>Conclusion</w:t>
      </w:r>
    </w:p>
    <w:p/>
    <w:p>
      <w:r>
        <w:t>In conclusion, Rachel's team has managed their call volume efficiently throughout 2025. It is recommended that our staffing strategies continue to align with the trends observed. The data provided in this report should assist in future planning and decision-making processes in our customer service department.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